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452" w:rsidRPr="004F2F83" w:rsidRDefault="00703452" w:rsidP="008C274B">
      <w:pPr>
        <w:jc w:val="both"/>
        <w:rPr>
          <w:rFonts w:ascii="Times New Roman" w:hAnsi="Times New Roman"/>
          <w:b/>
          <w:color w:val="244061"/>
          <w:sz w:val="24"/>
          <w:szCs w:val="24"/>
        </w:rPr>
      </w:pPr>
      <w:r w:rsidRPr="004F2F83">
        <w:rPr>
          <w:rFonts w:ascii="Times New Roman" w:hAnsi="Times New Roman"/>
          <w:b/>
          <w:color w:val="244061"/>
          <w:sz w:val="24"/>
          <w:szCs w:val="24"/>
        </w:rPr>
        <w:t>Anexa 1: Definițiile indicatorilor de rezultat și realizare</w:t>
      </w:r>
    </w:p>
    <w:p w:rsidR="00703452" w:rsidRPr="004866D1" w:rsidRDefault="00703452" w:rsidP="008C274B">
      <w:pPr>
        <w:jc w:val="both"/>
        <w:rPr>
          <w:rFonts w:ascii="Times New Roman" w:hAnsi="Times New Roman"/>
          <w:b/>
          <w:color w:val="C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9"/>
        <w:gridCol w:w="1108"/>
        <w:gridCol w:w="3765"/>
        <w:gridCol w:w="8377"/>
      </w:tblGrid>
      <w:tr w:rsidR="00703452" w:rsidRPr="00FC17AB" w:rsidTr="00B07514">
        <w:tc>
          <w:tcPr>
            <w:tcW w:w="799" w:type="dxa"/>
            <w:shd w:val="clear" w:color="auto" w:fill="EEECE1"/>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Cod</w:t>
            </w:r>
          </w:p>
        </w:tc>
        <w:tc>
          <w:tcPr>
            <w:tcW w:w="1108" w:type="dxa"/>
            <w:shd w:val="clear" w:color="auto" w:fill="EEECE1"/>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Tip</w:t>
            </w:r>
          </w:p>
        </w:tc>
        <w:tc>
          <w:tcPr>
            <w:tcW w:w="3765" w:type="dxa"/>
            <w:shd w:val="clear" w:color="auto" w:fill="EEECE1"/>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Denumite indicator</w:t>
            </w:r>
          </w:p>
        </w:tc>
        <w:tc>
          <w:tcPr>
            <w:tcW w:w="8377" w:type="dxa"/>
            <w:shd w:val="clear" w:color="auto" w:fill="EEECE1"/>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Definiția indicatorului</w:t>
            </w:r>
          </w:p>
        </w:tc>
      </w:tr>
      <w:tr w:rsidR="00703452" w:rsidRPr="00FC17AB" w:rsidTr="00B07514">
        <w:tc>
          <w:tcPr>
            <w:tcW w:w="799" w:type="dxa"/>
            <w:shd w:val="clear" w:color="auto" w:fill="EAF1DD"/>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4S</w:t>
            </w:r>
            <w:r>
              <w:rPr>
                <w:rFonts w:ascii="Times New Roman" w:hAnsi="Times New Roman"/>
                <w:b/>
                <w:color w:val="17365D"/>
              </w:rPr>
              <w:t>224</w:t>
            </w:r>
          </w:p>
          <w:p w:rsidR="00703452" w:rsidRPr="00FC17AB" w:rsidRDefault="00703452" w:rsidP="00FC17AB">
            <w:pPr>
              <w:spacing w:after="0" w:line="240" w:lineRule="auto"/>
              <w:jc w:val="both"/>
              <w:rPr>
                <w:rFonts w:ascii="Times New Roman" w:hAnsi="Times New Roman"/>
                <w:color w:val="17365D"/>
              </w:rPr>
            </w:pPr>
          </w:p>
        </w:tc>
        <w:tc>
          <w:tcPr>
            <w:tcW w:w="1108" w:type="dxa"/>
            <w:shd w:val="clear" w:color="auto" w:fill="EAF1DD"/>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 xml:space="preserve">Realizare </w:t>
            </w:r>
          </w:p>
        </w:tc>
        <w:tc>
          <w:tcPr>
            <w:tcW w:w="3765" w:type="dxa"/>
            <w:shd w:val="clear" w:color="auto" w:fill="EAF1DD"/>
          </w:tcPr>
          <w:p w:rsidR="00703452" w:rsidRPr="00674E1E" w:rsidRDefault="00703452" w:rsidP="00674E1E">
            <w:pPr>
              <w:pStyle w:val="ListParagraph"/>
              <w:spacing w:after="0" w:line="240" w:lineRule="auto"/>
              <w:jc w:val="both"/>
              <w:rPr>
                <w:rFonts w:ascii="Times New Roman" w:hAnsi="Times New Roman"/>
                <w:b/>
                <w:color w:val="17365D"/>
                <w:sz w:val="22"/>
                <w:szCs w:val="22"/>
                <w:lang w:eastAsia="en-US"/>
              </w:rPr>
            </w:pPr>
            <w:r w:rsidRPr="00674E1E">
              <w:rPr>
                <w:rFonts w:ascii="Times New Roman" w:hAnsi="Times New Roman"/>
                <w:b/>
                <w:color w:val="17365D"/>
                <w:sz w:val="22"/>
                <w:szCs w:val="22"/>
                <w:lang w:eastAsia="en-US"/>
              </w:rPr>
              <w:t>Tineri NEETs șomeri cu vârsta între 16 - 29 ani, care beneficiază de măsuri de reîntoarcere în educație în programe de tip a doua șansă, din care:</w:t>
            </w:r>
          </w:p>
          <w:p w:rsidR="00703452" w:rsidRPr="00674E1E" w:rsidRDefault="00703452" w:rsidP="00674E1E">
            <w:pPr>
              <w:pStyle w:val="ListParagraph"/>
              <w:spacing w:after="0" w:line="240" w:lineRule="auto"/>
              <w:jc w:val="both"/>
              <w:rPr>
                <w:rFonts w:ascii="Times New Roman" w:hAnsi="Times New Roman" w:cs="Calibri"/>
                <w:b/>
                <w:color w:val="17365D"/>
                <w:sz w:val="22"/>
                <w:szCs w:val="22"/>
                <w:lang w:eastAsia="en-US"/>
              </w:rPr>
            </w:pPr>
            <w:r w:rsidRPr="00674E1E">
              <w:rPr>
                <w:rFonts w:ascii="Times New Roman" w:hAnsi="Times New Roman"/>
                <w:b/>
                <w:color w:val="17365D"/>
                <w:sz w:val="22"/>
                <w:szCs w:val="22"/>
                <w:lang w:eastAsia="en-US"/>
              </w:rPr>
              <w:t></w:t>
            </w:r>
            <w:r w:rsidRPr="00674E1E">
              <w:rPr>
                <w:rFonts w:ascii="Times New Roman" w:hAnsi="Times New Roman"/>
                <w:b/>
                <w:color w:val="17365D"/>
                <w:sz w:val="22"/>
                <w:szCs w:val="22"/>
                <w:lang w:eastAsia="en-US"/>
              </w:rPr>
              <w:tab/>
              <w:t>roma</w:t>
            </w:r>
          </w:p>
          <w:p w:rsidR="00703452" w:rsidRPr="00674E1E" w:rsidRDefault="00703452" w:rsidP="00674E1E">
            <w:pPr>
              <w:pStyle w:val="ListParagraph"/>
              <w:spacing w:after="0" w:line="240" w:lineRule="auto"/>
              <w:jc w:val="both"/>
              <w:rPr>
                <w:rFonts w:ascii="Times New Roman" w:hAnsi="Times New Roman"/>
                <w:b/>
                <w:color w:val="17365D"/>
                <w:sz w:val="22"/>
                <w:szCs w:val="22"/>
                <w:lang w:eastAsia="en-US"/>
              </w:rPr>
            </w:pPr>
            <w:r w:rsidRPr="00674E1E">
              <w:rPr>
                <w:rFonts w:ascii="Times New Roman" w:hAnsi="Times New Roman"/>
                <w:b/>
                <w:color w:val="17365D"/>
                <w:sz w:val="22"/>
                <w:szCs w:val="22"/>
                <w:lang w:eastAsia="en-US"/>
              </w:rPr>
              <w:t></w:t>
            </w:r>
            <w:r w:rsidRPr="00674E1E">
              <w:rPr>
                <w:rFonts w:ascii="Times New Roman" w:hAnsi="Times New Roman"/>
                <w:b/>
                <w:color w:val="17365D"/>
                <w:sz w:val="22"/>
                <w:szCs w:val="22"/>
                <w:lang w:eastAsia="en-US"/>
              </w:rPr>
              <w:tab/>
              <w:t xml:space="preserve">din zona rurală </w:t>
            </w:r>
          </w:p>
        </w:tc>
        <w:tc>
          <w:tcPr>
            <w:tcW w:w="8377" w:type="dxa"/>
            <w:shd w:val="clear" w:color="auto" w:fill="EAF1DD"/>
          </w:tcPr>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color w:val="17365D"/>
              </w:rPr>
              <w:t xml:space="preserve">Acest indicator reprezintă numărul de </w:t>
            </w:r>
            <w:r>
              <w:rPr>
                <w:rFonts w:ascii="Times New Roman" w:hAnsi="Times New Roman"/>
                <w:color w:val="17365D"/>
              </w:rPr>
              <w:t>NEETs</w:t>
            </w:r>
            <w:r w:rsidRPr="00FC17AB">
              <w:rPr>
                <w:rFonts w:ascii="Times New Roman" w:hAnsi="Times New Roman"/>
                <w:color w:val="17365D"/>
              </w:rPr>
              <w:t xml:space="preserve"> care beneficiază de sprijin direct pentru participarea la programe de educație </w:t>
            </w:r>
            <w:r>
              <w:rPr>
                <w:rFonts w:ascii="Times New Roman" w:hAnsi="Times New Roman"/>
                <w:color w:val="17365D"/>
              </w:rPr>
              <w:t>de tip a doua sansa</w:t>
            </w:r>
            <w:r w:rsidRPr="00FC17AB">
              <w:rPr>
                <w:rFonts w:ascii="Times New Roman" w:hAnsi="Times New Roman"/>
                <w:color w:val="17365D"/>
              </w:rPr>
              <w:t xml:space="preserve">, în cadrul Obiectivului Specific </w:t>
            </w:r>
            <w:r>
              <w:rPr>
                <w:rFonts w:ascii="Times New Roman" w:hAnsi="Times New Roman"/>
                <w:color w:val="17365D"/>
              </w:rPr>
              <w:t>2</w:t>
            </w:r>
            <w:r w:rsidRPr="00FC17AB">
              <w:rPr>
                <w:rFonts w:ascii="Times New Roman" w:hAnsi="Times New Roman"/>
                <w:color w:val="17365D"/>
              </w:rPr>
              <w:t xml:space="preserve">.4 şi care, </w:t>
            </w:r>
            <w:r w:rsidRPr="00FC17AB">
              <w:rPr>
                <w:rFonts w:ascii="Times New Roman" w:hAnsi="Times New Roman"/>
                <w:b/>
                <w:color w:val="17365D"/>
              </w:rPr>
              <w:t>la data intrării în operațiunile FSE</w:t>
            </w:r>
            <w:r w:rsidRPr="00FC17AB">
              <w:rPr>
                <w:rFonts w:ascii="Times New Roman" w:hAnsi="Times New Roman"/>
                <w:color w:val="17365D"/>
              </w:rPr>
              <w:t xml:space="preserve"> sunt rezidenți în una din regiunile de dezvoltare eligibile.</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b/>
                <w:color w:val="C00000"/>
              </w:rPr>
            </w:pPr>
            <w:r w:rsidRPr="00FC17AB">
              <w:rPr>
                <w:rFonts w:ascii="Times New Roman" w:hAnsi="Times New Roman"/>
                <w:b/>
                <w:color w:val="C00000"/>
              </w:rPr>
              <w:t>TERMINOLOGIE</w:t>
            </w:r>
          </w:p>
          <w:p w:rsidR="00703452" w:rsidRPr="00FC17AB" w:rsidRDefault="00703452" w:rsidP="00FC17AB">
            <w:pPr>
              <w:spacing w:after="0" w:line="240" w:lineRule="auto"/>
              <w:jc w:val="both"/>
              <w:rPr>
                <w:rFonts w:ascii="Times New Roman" w:hAnsi="Times New Roman"/>
                <w:b/>
                <w:color w:val="C00000"/>
              </w:rPr>
            </w:pP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„Măsuri de reîntoarcere în educaţie”</w:t>
            </w:r>
            <w:r w:rsidRPr="00FC17AB">
              <w:rPr>
                <w:rFonts w:ascii="Times New Roman" w:hAnsi="Times New Roman"/>
                <w:color w:val="17365D"/>
              </w:rPr>
              <w:t xml:space="preserve"> înseamnă furnizarea de servicii educaţionale pentru copii, tineri şi adulţi prin intermediul programelor de tip remedial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Sursa:</w:t>
            </w:r>
            <w:r w:rsidRPr="00FC17AB">
              <w:rPr>
                <w:rFonts w:ascii="Times New Roman" w:hAnsi="Times New Roman"/>
                <w:color w:val="17365D"/>
              </w:rPr>
              <w:t xml:space="preserve"> </w:t>
            </w:r>
            <w:r w:rsidRPr="00FC17AB">
              <w:rPr>
                <w:rFonts w:ascii="Times New Roman" w:hAnsi="Times New Roman"/>
                <w:i/>
                <w:color w:val="17365D"/>
              </w:rPr>
              <w:t>Legea educației naționale 1/2011, cu modificările și completările ulterioare</w:t>
            </w:r>
            <w:r w:rsidRPr="00FC17AB">
              <w:rPr>
                <w:rFonts w:ascii="Times New Roman" w:hAnsi="Times New Roman"/>
                <w:color w:val="17365D"/>
              </w:rPr>
              <w:t xml:space="preserve"> </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”Învăţarea în context formal”</w:t>
            </w:r>
            <w:r w:rsidRPr="00FC17AB">
              <w:rPr>
                <w:rFonts w:ascii="Times New Roman" w:hAnsi="Times New Roman"/>
                <w:color w:val="17365D"/>
              </w:rPr>
              <w:t xml:space="preserve"> reprezintă o învăţare organizată şi structurată, care se realizează într-un cadru instituţionalizat şi se fundamentează pe o proiectare didactică explicită. Acest tip de învăţare are asociate obiective, durate şi resurse, depinde de voinţa celui care învaţă şi se finalizează cu certificarea instituţionalizată a cunoştinţelor şi competenţelor dobândite. </w:t>
            </w:r>
          </w:p>
          <w:p w:rsidR="00703452" w:rsidRPr="00FC17AB" w:rsidRDefault="00703452" w:rsidP="00FC17AB">
            <w:pPr>
              <w:spacing w:after="0" w:line="240" w:lineRule="auto"/>
              <w:jc w:val="both"/>
              <w:rPr>
                <w:rFonts w:ascii="Times New Roman" w:hAnsi="Times New Roman"/>
                <w:i/>
                <w:color w:val="17365D"/>
              </w:rPr>
            </w:pPr>
            <w:r w:rsidRPr="00FC17AB">
              <w:rPr>
                <w:rFonts w:ascii="Times New Roman" w:hAnsi="Times New Roman"/>
                <w:b/>
                <w:color w:val="17365D"/>
              </w:rPr>
              <w:t xml:space="preserve">Sursa: </w:t>
            </w:r>
            <w:r w:rsidRPr="00FC17AB">
              <w:rPr>
                <w:rFonts w:ascii="Times New Roman" w:hAnsi="Times New Roman"/>
                <w:i/>
                <w:color w:val="17365D"/>
              </w:rPr>
              <w:t xml:space="preserve">Legea educației naționale 1/2011, cu modificările și completările ulterioare </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„Sistemul de formare“</w:t>
            </w:r>
            <w:r w:rsidRPr="00FC17AB">
              <w:rPr>
                <w:rFonts w:ascii="Times New Roman" w:hAnsi="Times New Roman"/>
                <w:color w:val="17365D"/>
              </w:rPr>
              <w:t xml:space="preserve"> (IVET) pregăteşte tinerii cu competenţele, abilităţile şi aptitudinile necesare la primul lor loc de muncă.</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Sursa</w:t>
            </w:r>
            <w:r w:rsidRPr="00FC17AB">
              <w:rPr>
                <w:rFonts w:ascii="Times New Roman" w:hAnsi="Times New Roman"/>
                <w:color w:val="17365D"/>
              </w:rPr>
              <w:t xml:space="preserve">: </w:t>
            </w:r>
            <w:r w:rsidRPr="00FC17AB">
              <w:rPr>
                <w:rFonts w:ascii="Times New Roman" w:hAnsi="Times New Roman"/>
                <w:i/>
                <w:color w:val="17365D"/>
              </w:rPr>
              <w:t>Glosar de termeni tehnici folosiți în învățământul tehnic și profesional din România -</w:t>
            </w:r>
            <w:r w:rsidRPr="00FC17AB">
              <w:rPr>
                <w:rFonts w:ascii="Times New Roman" w:hAnsi="Times New Roman"/>
                <w:color w:val="17365D"/>
              </w:rPr>
              <w:t xml:space="preserve"> </w:t>
            </w:r>
            <w:hyperlink r:id="rId7" w:history="1">
              <w:r w:rsidRPr="00FC17AB">
                <w:rPr>
                  <w:rStyle w:val="Hyperlink"/>
                  <w:rFonts w:ascii="Times New Roman" w:hAnsi="Times New Roman"/>
                </w:rPr>
                <w:t>http://www.tvet.ro/Anexe/x/Glossary%20Eng-Rom.pdf</w:t>
              </w:r>
            </w:hyperlink>
            <w:r w:rsidRPr="00FC17AB">
              <w:rPr>
                <w:rFonts w:ascii="Times New Roman" w:hAnsi="Times New Roman"/>
                <w:color w:val="17365D"/>
              </w:rPr>
              <w:t xml:space="preserve"> </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color w:val="17365D"/>
              </w:rPr>
              <w:t xml:space="preserve"> </w:t>
            </w:r>
            <w:r w:rsidRPr="00FC17AB">
              <w:rPr>
                <w:rFonts w:ascii="Times New Roman" w:hAnsi="Times New Roman"/>
                <w:b/>
                <w:color w:val="17365D"/>
              </w:rPr>
              <w:t>„Data intrării în operațiunile FSE”</w:t>
            </w:r>
            <w:r w:rsidRPr="00FC17AB">
              <w:rPr>
                <w:rFonts w:ascii="Times New Roman" w:hAnsi="Times New Roman"/>
                <w:color w:val="17365D"/>
              </w:rPr>
              <w:t xml:space="preserve"> reprezintă „data la care persoana a beneficiat prima dată de sprijinul oferit prin operaţiune”. </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 xml:space="preserve">Sursa: </w:t>
            </w:r>
            <w:r w:rsidRPr="00FC17AB">
              <w:rPr>
                <w:rFonts w:ascii="Times New Roman" w:hAnsi="Times New Roman"/>
                <w:i/>
                <w:color w:val="17365D"/>
              </w:rPr>
              <w:t>Anexa D – Orientare practică privind colectarea şi validarea datelor din orientările Comisiei Europene</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”Operațiune”</w:t>
            </w:r>
            <w:r w:rsidRPr="00FC17AB">
              <w:rPr>
                <w:rFonts w:ascii="Times New Roman" w:hAnsi="Times New Roman"/>
                <w:color w:val="17365D"/>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Sursa:</w:t>
            </w:r>
            <w:r w:rsidRPr="00FC17AB">
              <w:rPr>
                <w:rFonts w:ascii="Times New Roman" w:hAnsi="Times New Roman"/>
                <w:color w:val="17365D"/>
              </w:rPr>
              <w:t xml:space="preserve"> </w:t>
            </w:r>
            <w:r w:rsidRPr="00FC17AB">
              <w:rPr>
                <w:rFonts w:ascii="Times New Roman" w:hAnsi="Times New Roman"/>
                <w:i/>
                <w:color w:val="17365D"/>
              </w:rPr>
              <w:t>Regulament (UE) Nr. 1303/2013 al Parlamentului European și al Consiliului din 17 decembrie 2013 de stabilire a unor dispoziții comune</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”Învăţământul general obligatoriu”</w:t>
            </w:r>
            <w:r w:rsidRPr="00FC17AB">
              <w:rPr>
                <w:rFonts w:ascii="Times New Roman" w:hAnsi="Times New Roman"/>
                <w:color w:val="17365D"/>
              </w:rPr>
              <w:t xml:space="preserve"> este de 10 clase şi cuprinde învăţământul primar şi cel gimnazial. Învăţământul liceal devine obligatoriu până cel mai târziu în anul 2020.</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rPr>
              <w:t>Sursa:</w:t>
            </w:r>
            <w:r w:rsidRPr="00FC17AB">
              <w:rPr>
                <w:rFonts w:ascii="Times New Roman" w:hAnsi="Times New Roman"/>
                <w:color w:val="17365D"/>
              </w:rPr>
              <w:t xml:space="preserve"> </w:t>
            </w:r>
            <w:r w:rsidRPr="00FC17AB">
              <w:rPr>
                <w:rFonts w:ascii="Times New Roman" w:hAnsi="Times New Roman"/>
                <w:i/>
                <w:color w:val="17365D"/>
              </w:rPr>
              <w:t>Legea educației naționale 1/2011, cu modificările și completările ulterioare</w:t>
            </w:r>
            <w:r w:rsidRPr="00FC17AB">
              <w:rPr>
                <w:rFonts w:ascii="Times New Roman" w:hAnsi="Times New Roman"/>
                <w:color w:val="17365D"/>
              </w:rPr>
              <w:t xml:space="preserve"> </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b/>
                <w:color w:val="17365D"/>
              </w:rPr>
              <w:t>"Loc de muncă"</w:t>
            </w:r>
            <w:r w:rsidRPr="00FC17AB">
              <w:rPr>
                <w:rFonts w:ascii="Times New Roman" w:hAnsi="Times New Roman"/>
                <w:color w:val="17365D"/>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w:t>
            </w:r>
            <w:smartTag w:uri="urn:schemas-microsoft-com:office:smarttags" w:element="metricconverter">
              <w:smartTagPr>
                <w:attr w:name="ProductID" w:val="11.13 f"/>
              </w:smartTagPr>
              <w:r w:rsidRPr="00FC17AB">
                <w:rPr>
                  <w:rFonts w:ascii="Times New Roman" w:hAnsi="Times New Roman"/>
                  <w:color w:val="17365D"/>
                </w:rPr>
                <w:t>11.13 f</w:t>
              </w:r>
            </w:smartTag>
            <w:r w:rsidRPr="00FC17AB">
              <w:rPr>
                <w:rFonts w:ascii="Times New Roman" w:hAnsi="Times New Roman"/>
                <w:color w:val="17365D"/>
              </w:rPr>
              <w:t xml:space="preserve">). </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color w:val="17365D"/>
              </w:rPr>
              <w:t>Şi persoanele care desfăşoară activităţi independente într-o întreprindere, fermă sau cabinet profesional se consideră că sunt încadrate în muncă dacă se aplică oricare dintre următoarele situații:</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color w:val="17365D"/>
              </w:rPr>
              <w:t>1) Persoana lucrează în propria întreprindere, cabinet profesional sau fermă în scopul realizării de profit, chiar dacă întreprinderea nu reuşeşte să aducă profit.</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color w:val="17365D"/>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rsidR="00703452" w:rsidRPr="00FC17AB" w:rsidRDefault="00703452" w:rsidP="00FC17AB">
            <w:pPr>
              <w:spacing w:after="0" w:line="240" w:lineRule="auto"/>
              <w:jc w:val="both"/>
              <w:rPr>
                <w:rFonts w:ascii="Times New Roman" w:hAnsi="Times New Roman"/>
                <w:color w:val="17365D"/>
              </w:rPr>
            </w:pPr>
            <w:r w:rsidRPr="00FC17AB">
              <w:rPr>
                <w:rFonts w:ascii="Times New Roman" w:hAnsi="Times New Roman"/>
                <w:color w:val="17365D"/>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703452" w:rsidRPr="00FC17AB" w:rsidRDefault="00703452" w:rsidP="00FC17AB">
            <w:pPr>
              <w:spacing w:after="0" w:line="240" w:lineRule="auto"/>
              <w:jc w:val="both"/>
              <w:rPr>
                <w:rFonts w:ascii="Times New Roman" w:hAnsi="Times New Roman"/>
                <w:color w:val="17365D"/>
              </w:rPr>
            </w:pPr>
          </w:p>
          <w:p w:rsidR="00703452" w:rsidRPr="00FC17AB" w:rsidRDefault="00703452" w:rsidP="00B07514">
            <w:pPr>
              <w:pStyle w:val="ListParagraph"/>
              <w:spacing w:after="0" w:line="240" w:lineRule="auto"/>
              <w:ind w:left="0"/>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DATELE VOR FI COLECTATE, MONITORIZATE ŞI RAPORTATE PENTRU URMĂTOARELE CATEGORII:</w:t>
            </w:r>
          </w:p>
          <w:p w:rsidR="00703452" w:rsidRPr="00FC17AB" w:rsidRDefault="00703452" w:rsidP="00B07514">
            <w:pPr>
              <w:pStyle w:val="ListParagraph"/>
              <w:spacing w:after="0" w:line="240" w:lineRule="auto"/>
              <w:ind w:left="0"/>
              <w:jc w:val="both"/>
              <w:rPr>
                <w:rFonts w:ascii="Times New Roman" w:hAnsi="Times New Roman"/>
                <w:b/>
                <w:color w:val="FF0000"/>
                <w:sz w:val="22"/>
                <w:szCs w:val="22"/>
                <w:lang w:eastAsia="en-US"/>
              </w:rPr>
            </w:pPr>
          </w:p>
          <w:p w:rsidR="00703452" w:rsidRPr="00FC17AB" w:rsidRDefault="00703452" w:rsidP="00B07514">
            <w:pPr>
              <w:pStyle w:val="ListParagraph"/>
              <w:spacing w:after="0" w:line="240" w:lineRule="auto"/>
              <w:ind w:left="0"/>
              <w:jc w:val="both"/>
              <w:rPr>
                <w:rFonts w:ascii="Times New Roman" w:hAnsi="Times New Roman"/>
                <w:color w:val="17365D"/>
                <w:sz w:val="22"/>
                <w:szCs w:val="22"/>
                <w:lang w:eastAsia="en-US"/>
              </w:rPr>
            </w:pPr>
            <w:r w:rsidRPr="00B07514">
              <w:rPr>
                <w:rFonts w:ascii="Times New Roman" w:hAnsi="Times New Roman"/>
                <w:b/>
                <w:color w:val="17365D"/>
                <w:sz w:val="22"/>
                <w:szCs w:val="22"/>
                <w:lang w:eastAsia="en-US"/>
              </w:rPr>
              <w:t>Regiuni mai puțin dezvoltate</w:t>
            </w:r>
            <w:r>
              <w:rPr>
                <w:rFonts w:ascii="Times New Roman" w:hAnsi="Times New Roman"/>
                <w:b/>
                <w:color w:val="17365D"/>
                <w:sz w:val="22"/>
                <w:szCs w:val="22"/>
                <w:lang w:eastAsia="en-US"/>
              </w:rPr>
              <w:t xml:space="preserve"> </w:t>
            </w:r>
            <w:r w:rsidRPr="00DB23CB">
              <w:rPr>
                <w:rFonts w:ascii="Times New Roman" w:hAnsi="Times New Roman"/>
                <w:b/>
                <w:color w:val="17365D"/>
                <w:sz w:val="22"/>
                <w:szCs w:val="22"/>
                <w:lang w:eastAsia="en-US"/>
              </w:rPr>
              <w:t>Sud-Vest Oltenia, Sud-Est şi Sud Muntenia</w:t>
            </w:r>
            <w:r w:rsidRPr="00FC17AB">
              <w:rPr>
                <w:rFonts w:ascii="Times New Roman" w:hAnsi="Times New Roman"/>
                <w:color w:val="17365D"/>
                <w:sz w:val="22"/>
                <w:szCs w:val="22"/>
                <w:lang w:eastAsia="en-US"/>
              </w:rPr>
              <w:t xml:space="preserve"> </w:t>
            </w:r>
          </w:p>
        </w:tc>
      </w:tr>
      <w:tr w:rsidR="00703452" w:rsidRPr="00FC17AB" w:rsidTr="00B07514">
        <w:tc>
          <w:tcPr>
            <w:tcW w:w="799" w:type="dxa"/>
            <w:shd w:val="clear" w:color="auto" w:fill="EAF1DD"/>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4S</w:t>
            </w:r>
            <w:r>
              <w:rPr>
                <w:rFonts w:ascii="Times New Roman" w:hAnsi="Times New Roman"/>
                <w:b/>
                <w:color w:val="17365D"/>
              </w:rPr>
              <w:t>70</w:t>
            </w:r>
          </w:p>
        </w:tc>
        <w:tc>
          <w:tcPr>
            <w:tcW w:w="1108" w:type="dxa"/>
            <w:shd w:val="clear" w:color="auto" w:fill="EAF1DD"/>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Rezultat</w:t>
            </w:r>
          </w:p>
        </w:tc>
        <w:tc>
          <w:tcPr>
            <w:tcW w:w="3765" w:type="dxa"/>
            <w:shd w:val="clear" w:color="auto" w:fill="EAF1DD"/>
          </w:tcPr>
          <w:p w:rsidR="00703452" w:rsidRPr="00E25D73" w:rsidRDefault="00703452" w:rsidP="00E25D73">
            <w:pPr>
              <w:spacing w:after="0" w:line="240" w:lineRule="auto"/>
              <w:jc w:val="both"/>
              <w:rPr>
                <w:rFonts w:ascii="Times New Roman" w:hAnsi="Times New Roman"/>
                <w:b/>
                <w:color w:val="17365D"/>
              </w:rPr>
            </w:pPr>
            <w:r w:rsidRPr="00E25D73">
              <w:rPr>
                <w:rFonts w:ascii="Times New Roman" w:hAnsi="Times New Roman"/>
                <w:b/>
                <w:color w:val="17365D"/>
              </w:rPr>
              <w:t xml:space="preserve">4S70 Tineri NEETs șomeri care au finalizat un program de a doua șansă </w:t>
            </w:r>
          </w:p>
          <w:p w:rsidR="00703452" w:rsidRPr="00E25D73" w:rsidRDefault="00703452" w:rsidP="00E25D73">
            <w:pPr>
              <w:spacing w:after="0" w:line="240" w:lineRule="auto"/>
              <w:jc w:val="both"/>
              <w:rPr>
                <w:rFonts w:ascii="Times New Roman" w:hAnsi="Times New Roman"/>
                <w:b/>
                <w:color w:val="17365D"/>
              </w:rPr>
            </w:pPr>
          </w:p>
          <w:p w:rsidR="00703452" w:rsidRPr="00E25D73" w:rsidRDefault="00703452" w:rsidP="00E25D73">
            <w:pPr>
              <w:spacing w:after="0" w:line="240" w:lineRule="auto"/>
              <w:jc w:val="both"/>
              <w:rPr>
                <w:rFonts w:ascii="Times New Roman" w:hAnsi="Times New Roman"/>
                <w:b/>
                <w:color w:val="17365D"/>
              </w:rPr>
            </w:pPr>
          </w:p>
        </w:tc>
        <w:tc>
          <w:tcPr>
            <w:tcW w:w="8377" w:type="dxa"/>
            <w:shd w:val="clear" w:color="auto" w:fill="EAF1DD"/>
          </w:tcPr>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xml:space="preserve">Acest indicator reprezintă numărul de tineri </w:t>
            </w:r>
            <w:r>
              <w:rPr>
                <w:rFonts w:ascii="Times New Roman" w:hAnsi="Times New Roman"/>
                <w:color w:val="17365D"/>
                <w:sz w:val="22"/>
                <w:szCs w:val="22"/>
                <w:lang w:eastAsia="en-US"/>
              </w:rPr>
              <w:t>NEETs</w:t>
            </w:r>
            <w:r w:rsidRPr="00FC17AB">
              <w:rPr>
                <w:rFonts w:ascii="Times New Roman" w:hAnsi="Times New Roman"/>
                <w:color w:val="17365D"/>
                <w:sz w:val="22"/>
                <w:szCs w:val="22"/>
                <w:lang w:eastAsia="en-US"/>
              </w:rPr>
              <w:t xml:space="preserve"> care au finalizat programe de tip a doua şansă, urmare a sprijinului primit direct în cadrul Obiectivului Specific </w:t>
            </w:r>
            <w:r>
              <w:rPr>
                <w:rFonts w:ascii="Times New Roman" w:hAnsi="Times New Roman"/>
                <w:color w:val="17365D"/>
                <w:sz w:val="22"/>
                <w:szCs w:val="22"/>
                <w:lang w:eastAsia="en-US"/>
              </w:rPr>
              <w:t>2</w:t>
            </w:r>
            <w:r w:rsidRPr="00FC17AB">
              <w:rPr>
                <w:rFonts w:ascii="Times New Roman" w:hAnsi="Times New Roman"/>
                <w:color w:val="17365D"/>
                <w:sz w:val="22"/>
                <w:szCs w:val="22"/>
                <w:lang w:eastAsia="en-US"/>
              </w:rPr>
              <w:t xml:space="preserve">.4 şi care, </w:t>
            </w:r>
            <w:r w:rsidRPr="00FC17AB">
              <w:rPr>
                <w:rFonts w:ascii="Times New Roman" w:hAnsi="Times New Roman"/>
                <w:b/>
                <w:color w:val="17365D"/>
                <w:sz w:val="22"/>
                <w:szCs w:val="22"/>
                <w:lang w:eastAsia="en-US"/>
              </w:rPr>
              <w:t>la data intrării în operațiunile FSE</w:t>
            </w:r>
            <w:r w:rsidRPr="00FC17AB">
              <w:rPr>
                <w:rFonts w:ascii="Times New Roman" w:hAnsi="Times New Roman"/>
                <w:color w:val="17365D"/>
                <w:sz w:val="22"/>
                <w:szCs w:val="22"/>
                <w:lang w:eastAsia="en-US"/>
              </w:rPr>
              <w:t xml:space="preserve"> sunt rezidente în una din regiunile de dezvoltare eligibile.</w:t>
            </w:r>
          </w:p>
          <w:p w:rsidR="00703452" w:rsidRPr="00FC17AB" w:rsidRDefault="00703452" w:rsidP="00FC17AB">
            <w:pPr>
              <w:pStyle w:val="ListParagraph"/>
              <w:spacing w:after="0" w:line="240" w:lineRule="auto"/>
              <w:ind w:left="82"/>
              <w:jc w:val="both"/>
              <w:rPr>
                <w:rFonts w:ascii="Times New Roman" w:hAnsi="Times New Roman"/>
                <w:b/>
                <w:color w:val="FF0000"/>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b/>
                <w:color w:val="C00000"/>
                <w:sz w:val="22"/>
                <w:szCs w:val="22"/>
                <w:lang w:eastAsia="en-US"/>
              </w:rPr>
            </w:pPr>
            <w:r w:rsidRPr="00FC17AB">
              <w:rPr>
                <w:rFonts w:ascii="Times New Roman" w:hAnsi="Times New Roman"/>
                <w:b/>
                <w:color w:val="FF0000"/>
                <w:sz w:val="22"/>
                <w:szCs w:val="22"/>
                <w:lang w:eastAsia="en-US"/>
              </w:rPr>
              <w:t>TER</w:t>
            </w:r>
            <w:r w:rsidRPr="00FC17AB">
              <w:rPr>
                <w:rFonts w:ascii="Times New Roman" w:hAnsi="Times New Roman"/>
                <w:b/>
                <w:color w:val="C00000"/>
                <w:sz w:val="22"/>
                <w:szCs w:val="22"/>
                <w:lang w:eastAsia="en-US"/>
              </w:rPr>
              <w:t>MINOLOGIE</w:t>
            </w:r>
          </w:p>
          <w:p w:rsidR="00703452" w:rsidRPr="00FC17AB" w:rsidRDefault="00703452" w:rsidP="00FC17AB">
            <w:pPr>
              <w:pStyle w:val="ListParagraph"/>
              <w:spacing w:after="0" w:line="240" w:lineRule="auto"/>
              <w:ind w:left="82"/>
              <w:jc w:val="both"/>
              <w:rPr>
                <w:rFonts w:ascii="Times New Roman" w:hAnsi="Times New Roman"/>
                <w:b/>
                <w:color w:val="C00000"/>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„Programul A doua şansă“</w:t>
            </w:r>
            <w:r w:rsidRPr="00FC17AB">
              <w:rPr>
                <w:rFonts w:ascii="Times New Roman" w:hAnsi="Times New Roman"/>
                <w:color w:val="17365D"/>
                <w:sz w:val="22"/>
                <w:szCs w:val="22"/>
                <w:lang w:eastAsia="en-US"/>
              </w:rPr>
              <w:t xml:space="preserve"> este o iniţiativă a Ministerului Educaţiei Naționale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703452" w:rsidRPr="00FC17AB" w:rsidRDefault="00703452" w:rsidP="00FC17AB">
            <w:pPr>
              <w:pStyle w:val="ListParagraph"/>
              <w:spacing w:after="0" w:line="240" w:lineRule="auto"/>
              <w:ind w:left="82"/>
              <w:jc w:val="both"/>
              <w:rPr>
                <w:rFonts w:ascii="Times New Roman" w:hAnsi="Times New Roman"/>
                <w:i/>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Ordinul nr. 5248 / 31.08.2011 al Ministerului Educației și Cercetării Științifice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 xml:space="preserve">“Finalizarea intervenţiei” </w:t>
            </w:r>
            <w:r w:rsidRPr="00FC17AB">
              <w:rPr>
                <w:rFonts w:ascii="Times New Roman" w:hAnsi="Times New Roman"/>
                <w:color w:val="17365D"/>
                <w:sz w:val="22"/>
                <w:szCs w:val="22"/>
                <w:lang w:eastAsia="en-US"/>
              </w:rPr>
              <w:t>înseamnă că participantul asistă la intervenţie conform cu programul până în ultima zi/ ultima sesiune a programului.</w:t>
            </w:r>
          </w:p>
          <w:p w:rsidR="00703452" w:rsidRPr="00FC17AB" w:rsidRDefault="00703452" w:rsidP="00FC17AB">
            <w:pPr>
              <w:pStyle w:val="ListParagraph"/>
              <w:spacing w:after="0" w:line="240" w:lineRule="auto"/>
              <w:ind w:left="82"/>
              <w:jc w:val="both"/>
              <w:rPr>
                <w:rFonts w:ascii="Times New Roman" w:hAnsi="Times New Roman"/>
                <w:i/>
                <w:color w:val="17365D"/>
                <w:sz w:val="22"/>
                <w:szCs w:val="22"/>
                <w:lang w:eastAsia="en-US"/>
              </w:rPr>
            </w:pPr>
            <w:r w:rsidRPr="00FC17AB">
              <w:rPr>
                <w:rFonts w:ascii="Times New Roman" w:hAnsi="Times New Roman"/>
                <w:b/>
                <w:color w:val="17365D"/>
                <w:sz w:val="22"/>
                <w:szCs w:val="22"/>
                <w:lang w:eastAsia="en-US"/>
              </w:rPr>
              <w:t>Notă:</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Criteriile de frecvenţă pentru finalizarea intervenţiei vor fi menţionate în criteriile apelului de proiecte.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„Data intrării în operațiunile FSE”</w:t>
            </w:r>
            <w:r w:rsidRPr="00FC17AB">
              <w:rPr>
                <w:rFonts w:ascii="Times New Roman" w:hAnsi="Times New Roman"/>
                <w:color w:val="17365D"/>
                <w:sz w:val="22"/>
                <w:szCs w:val="22"/>
                <w:lang w:eastAsia="en-US"/>
              </w:rPr>
              <w:t xml:space="preserve"> reprezintă „data la care persoana a beneficiat prima dată de sprijinul oferit prin operaţiune”. </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Anexa D – Orientare practică privind colectarea şi validarea datelor din orientările Comisiei Europene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”Operațiune”</w:t>
            </w:r>
            <w:r w:rsidRPr="00FC17AB">
              <w:rPr>
                <w:rFonts w:ascii="Times New Roman" w:hAnsi="Times New Roman"/>
                <w:color w:val="17365D"/>
                <w:sz w:val="22"/>
                <w:szCs w:val="22"/>
                <w:lang w:eastAsia="en-US"/>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b/>
                <w:i/>
                <w:color w:val="17365D"/>
                <w:sz w:val="22"/>
                <w:szCs w:val="22"/>
                <w:lang w:eastAsia="en-US"/>
              </w:rPr>
              <w:t>:</w:t>
            </w:r>
            <w:r w:rsidRPr="00FC17AB">
              <w:rPr>
                <w:rFonts w:ascii="Times New Roman" w:hAnsi="Times New Roman"/>
                <w:i/>
                <w:color w:val="17365D"/>
                <w:sz w:val="22"/>
                <w:szCs w:val="22"/>
                <w:lang w:eastAsia="en-US"/>
              </w:rPr>
              <w:t xml:space="preserve"> Regulament (UE) Nr. 1303/2013 al Parlamentului European și al Consiliului din 17 decembrie 2013 de stabilire a unor dispoziții comune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”Învăţământul general obligatoriu”</w:t>
            </w:r>
            <w:r w:rsidRPr="00FC17AB">
              <w:rPr>
                <w:rFonts w:ascii="Times New Roman" w:hAnsi="Times New Roman"/>
                <w:color w:val="17365D"/>
                <w:sz w:val="22"/>
                <w:szCs w:val="22"/>
                <w:lang w:eastAsia="en-US"/>
              </w:rPr>
              <w:t xml:space="preserve"> este de 10 clase şi cuprinde învăţământul primar şi cel gimnazial. Învăţământul liceal devine obligatoriu până cel mai târziu în anul 2020.</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Legea educației naționale 1/2011, cu modificările și completările ulterioare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"Loc de muncă"</w:t>
            </w:r>
            <w:r w:rsidRPr="00FC17AB">
              <w:rPr>
                <w:rFonts w:ascii="Times New Roman" w:hAnsi="Times New Roman"/>
                <w:color w:val="17365D"/>
                <w:sz w:val="22"/>
                <w:szCs w:val="22"/>
                <w:lang w:eastAsia="en-US"/>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11.13 f). </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Şi persoanele care desfăşoară activităţi independente într-o întreprindere, fermă sau cabinet profesional se consideră că este încadrată în muncă dacă se aplică oricare dintre următoarele: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1) Persoana lucrează în propria întreprindere, cabinet profesional sau fermă în scopul realizării de profit, chiar dacă întreprinderea nu reuşeşte să aducă profit.</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82"/>
              <w:jc w:val="both"/>
              <w:rPr>
                <w:rFonts w:ascii="Times New Roman" w:hAnsi="Times New Roman"/>
                <w:color w:val="17365D"/>
                <w:sz w:val="22"/>
                <w:szCs w:val="22"/>
                <w:lang w:eastAsia="en-US"/>
              </w:rPr>
            </w:pPr>
          </w:p>
          <w:p w:rsidR="00703452" w:rsidRPr="00FC17AB" w:rsidRDefault="00703452" w:rsidP="00B07514">
            <w:pPr>
              <w:pStyle w:val="ListParagraph"/>
              <w:spacing w:after="0" w:line="240" w:lineRule="auto"/>
              <w:ind w:left="0"/>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DATELE VOR FI COLECTATE, MONITORIZATE ŞI RAPORTATE PENTRU URMĂTOARELE CATEGORII:</w:t>
            </w:r>
          </w:p>
          <w:p w:rsidR="00703452" w:rsidRPr="00FC17AB" w:rsidRDefault="00703452" w:rsidP="00B07514">
            <w:pPr>
              <w:pStyle w:val="ListParagraph"/>
              <w:spacing w:after="0" w:line="240" w:lineRule="auto"/>
              <w:ind w:left="0"/>
              <w:jc w:val="both"/>
              <w:rPr>
                <w:rFonts w:ascii="Times New Roman" w:hAnsi="Times New Roman"/>
                <w:b/>
                <w:color w:val="FF0000"/>
                <w:sz w:val="22"/>
                <w:szCs w:val="22"/>
                <w:lang w:eastAsia="en-US"/>
              </w:rPr>
            </w:pPr>
          </w:p>
          <w:p w:rsidR="00703452" w:rsidRPr="00DB23CB" w:rsidRDefault="00703452" w:rsidP="00E25D73">
            <w:pPr>
              <w:pStyle w:val="ListParagraph"/>
              <w:spacing w:after="0" w:line="240" w:lineRule="auto"/>
              <w:ind w:left="0"/>
              <w:jc w:val="both"/>
              <w:rPr>
                <w:rFonts w:ascii="Times New Roman" w:hAnsi="Times New Roman"/>
                <w:b/>
                <w:color w:val="17365D"/>
                <w:sz w:val="22"/>
                <w:szCs w:val="22"/>
                <w:lang w:eastAsia="en-US"/>
              </w:rPr>
            </w:pPr>
            <w:r w:rsidRPr="00B07514">
              <w:rPr>
                <w:rFonts w:ascii="Times New Roman" w:hAnsi="Times New Roman"/>
                <w:b/>
                <w:color w:val="17365D"/>
                <w:sz w:val="22"/>
                <w:szCs w:val="22"/>
                <w:lang w:eastAsia="en-US"/>
              </w:rPr>
              <w:t>Regiuni mai puțin dezvoltate</w:t>
            </w:r>
            <w:r>
              <w:rPr>
                <w:rFonts w:ascii="Times New Roman" w:hAnsi="Times New Roman"/>
                <w:b/>
                <w:color w:val="17365D"/>
                <w:sz w:val="22"/>
                <w:szCs w:val="22"/>
                <w:lang w:eastAsia="en-US"/>
              </w:rPr>
              <w:t xml:space="preserve"> </w:t>
            </w:r>
            <w:r w:rsidRPr="00DB23CB">
              <w:rPr>
                <w:rFonts w:ascii="Times New Roman" w:hAnsi="Times New Roman"/>
                <w:b/>
                <w:color w:val="17365D"/>
                <w:sz w:val="22"/>
                <w:szCs w:val="22"/>
                <w:lang w:eastAsia="en-US"/>
              </w:rPr>
              <w:t xml:space="preserve">Sud-Vest Oltenia, Sud-Est şi Sud Muntenia </w:t>
            </w:r>
          </w:p>
        </w:tc>
      </w:tr>
      <w:tr w:rsidR="00703452" w:rsidRPr="00FC17AB" w:rsidTr="00B07514">
        <w:tc>
          <w:tcPr>
            <w:tcW w:w="799" w:type="dxa"/>
            <w:shd w:val="clear" w:color="auto" w:fill="EAF1DD"/>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 xml:space="preserve"> 4S</w:t>
            </w:r>
            <w:r>
              <w:rPr>
                <w:rFonts w:ascii="Times New Roman" w:hAnsi="Times New Roman"/>
                <w:b/>
                <w:color w:val="17365D"/>
              </w:rPr>
              <w:t>149</w:t>
            </w:r>
          </w:p>
        </w:tc>
        <w:tc>
          <w:tcPr>
            <w:tcW w:w="1108" w:type="dxa"/>
            <w:shd w:val="clear" w:color="auto" w:fill="EAF1DD"/>
          </w:tcPr>
          <w:p w:rsidR="00703452" w:rsidRPr="00FC17AB" w:rsidRDefault="00703452" w:rsidP="00FC17AB">
            <w:pPr>
              <w:spacing w:after="0" w:line="240" w:lineRule="auto"/>
              <w:jc w:val="both"/>
              <w:rPr>
                <w:rFonts w:ascii="Times New Roman" w:hAnsi="Times New Roman"/>
                <w:b/>
                <w:color w:val="17365D"/>
              </w:rPr>
            </w:pPr>
            <w:r w:rsidRPr="00FC17AB">
              <w:rPr>
                <w:rFonts w:ascii="Times New Roman" w:hAnsi="Times New Roman"/>
                <w:b/>
                <w:color w:val="17365D"/>
              </w:rPr>
              <w:t>Rezultat</w:t>
            </w:r>
          </w:p>
        </w:tc>
        <w:tc>
          <w:tcPr>
            <w:tcW w:w="3765" w:type="dxa"/>
            <w:shd w:val="clear" w:color="auto" w:fill="EAF1DD"/>
          </w:tcPr>
          <w:p w:rsidR="00703452" w:rsidRPr="00E25D73" w:rsidRDefault="00703452" w:rsidP="00FC17AB">
            <w:pPr>
              <w:tabs>
                <w:tab w:val="left" w:pos="303"/>
              </w:tabs>
              <w:spacing w:after="0" w:line="240" w:lineRule="auto"/>
              <w:jc w:val="both"/>
              <w:rPr>
                <w:rFonts w:ascii="Times New Roman" w:hAnsi="Times New Roman"/>
                <w:b/>
                <w:color w:val="17365D"/>
              </w:rPr>
            </w:pPr>
            <w:r w:rsidRPr="00E25D73">
              <w:rPr>
                <w:rFonts w:ascii="Times New Roman" w:hAnsi="Times New Roman"/>
                <w:b/>
                <w:color w:val="17365D"/>
              </w:rPr>
              <w:t xml:space="preserve">Tineri NEETs șomeri care obțin o calificare urmare a sprijinului acordat </w:t>
            </w:r>
          </w:p>
        </w:tc>
        <w:tc>
          <w:tcPr>
            <w:tcW w:w="8377" w:type="dxa"/>
            <w:shd w:val="clear" w:color="auto" w:fill="EAF1DD"/>
          </w:tcPr>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xml:space="preserve">Acest indicator reprezintă numărul de tineri </w:t>
            </w:r>
            <w:r>
              <w:rPr>
                <w:rFonts w:ascii="Times New Roman" w:hAnsi="Times New Roman"/>
                <w:color w:val="17365D"/>
                <w:sz w:val="22"/>
                <w:szCs w:val="22"/>
                <w:lang w:eastAsia="en-US"/>
              </w:rPr>
              <w:t>NEETs</w:t>
            </w:r>
            <w:r w:rsidRPr="00FC17AB">
              <w:rPr>
                <w:rFonts w:ascii="Times New Roman" w:hAnsi="Times New Roman"/>
                <w:color w:val="17365D"/>
                <w:sz w:val="22"/>
                <w:szCs w:val="22"/>
                <w:lang w:eastAsia="en-US"/>
              </w:rPr>
              <w:t xml:space="preserve"> care au obţinut o calificare la finalizarea programelor de tip a doua şansă, au fost sprijinite direct în cadrul Obiectivului Specific </w:t>
            </w:r>
            <w:r>
              <w:rPr>
                <w:rFonts w:ascii="Times New Roman" w:hAnsi="Times New Roman"/>
                <w:color w:val="17365D"/>
                <w:sz w:val="22"/>
                <w:szCs w:val="22"/>
                <w:lang w:eastAsia="en-US"/>
              </w:rPr>
              <w:t>2</w:t>
            </w:r>
            <w:r w:rsidRPr="00FC17AB">
              <w:rPr>
                <w:rFonts w:ascii="Times New Roman" w:hAnsi="Times New Roman"/>
                <w:color w:val="17365D"/>
                <w:sz w:val="22"/>
                <w:szCs w:val="22"/>
                <w:lang w:eastAsia="en-US"/>
              </w:rPr>
              <w:t xml:space="preserve">.4 şi care, </w:t>
            </w:r>
            <w:r w:rsidRPr="00FC17AB">
              <w:rPr>
                <w:rFonts w:ascii="Times New Roman" w:hAnsi="Times New Roman"/>
                <w:b/>
                <w:color w:val="17365D"/>
                <w:sz w:val="22"/>
                <w:szCs w:val="22"/>
                <w:lang w:eastAsia="en-US"/>
              </w:rPr>
              <w:t>la data intrării în operațiunile FSE</w:t>
            </w:r>
            <w:r w:rsidRPr="00FC17AB">
              <w:rPr>
                <w:rFonts w:ascii="Times New Roman" w:hAnsi="Times New Roman"/>
                <w:color w:val="17365D"/>
                <w:sz w:val="22"/>
                <w:szCs w:val="22"/>
                <w:lang w:eastAsia="en-US"/>
              </w:rPr>
              <w:t xml:space="preserve"> sunt rezidente în una din regiunile de dezvoltare eligibile.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0" w:firstLine="82"/>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EXPLICAȚIILE TERMENILOR</w:t>
            </w:r>
          </w:p>
          <w:p w:rsidR="00703452" w:rsidRPr="00FC17AB" w:rsidRDefault="00703452" w:rsidP="00FC17AB">
            <w:pPr>
              <w:pStyle w:val="ListParagraph"/>
              <w:spacing w:after="0" w:line="240" w:lineRule="auto"/>
              <w:ind w:left="0" w:firstLine="82"/>
              <w:jc w:val="both"/>
              <w:rPr>
                <w:rFonts w:ascii="Times New Roman" w:hAnsi="Times New Roman"/>
                <w:b/>
                <w:color w:val="FF0000"/>
                <w:sz w:val="22"/>
                <w:szCs w:val="22"/>
                <w:lang w:eastAsia="en-US"/>
              </w:rPr>
            </w:pP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„Calificarea”</w:t>
            </w:r>
            <w:r w:rsidRPr="00FC17AB">
              <w:rPr>
                <w:rFonts w:ascii="Times New Roman" w:hAnsi="Times New Roman"/>
                <w:color w:val="17365D"/>
                <w:sz w:val="22"/>
                <w:szCs w:val="22"/>
                <w:lang w:eastAsia="en-US"/>
              </w:rPr>
              <w:t xml:space="preserve">, respectiv </w:t>
            </w:r>
            <w:r w:rsidRPr="00FC17AB">
              <w:rPr>
                <w:rFonts w:ascii="Times New Roman" w:hAnsi="Times New Roman"/>
                <w:b/>
                <w:color w:val="17365D"/>
                <w:sz w:val="22"/>
                <w:szCs w:val="22"/>
                <w:lang w:eastAsia="en-US"/>
              </w:rPr>
              <w:t>recalificarea</w:t>
            </w:r>
            <w:r w:rsidRPr="00FC17AB">
              <w:rPr>
                <w:rFonts w:ascii="Times New Roman" w:hAnsi="Times New Roman"/>
                <w:color w:val="17365D"/>
                <w:sz w:val="22"/>
                <w:szCs w:val="22"/>
                <w:lang w:eastAsia="en-US"/>
              </w:rPr>
              <w:t xml:space="preserve"> reprezintă pregătirea profesională care conduce la dobândirea unui ansamblu de competenţe profesionale care permit unei persoane să desfăşoare activităţi specifice uneia sau mai multor ocupaţii.</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Ordonanţa 129/2000 privind formarea profesională a adulţilor, cu modificările şi actualizările ulterioare</w:t>
            </w:r>
            <w:r w:rsidRPr="00FC17AB">
              <w:rPr>
                <w:rFonts w:ascii="Times New Roman" w:hAnsi="Times New Roman"/>
                <w:color w:val="17365D"/>
                <w:sz w:val="22"/>
                <w:szCs w:val="22"/>
                <w:lang w:eastAsia="en-US"/>
              </w:rPr>
              <w:t xml:space="preserve"> </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„Programul A doua şansă“</w:t>
            </w:r>
            <w:r w:rsidRPr="00FC17AB">
              <w:rPr>
                <w:rFonts w:ascii="Times New Roman" w:hAnsi="Times New Roman"/>
                <w:color w:val="17365D"/>
                <w:sz w:val="22"/>
                <w:szCs w:val="22"/>
                <w:lang w:eastAsia="en-US"/>
              </w:rPr>
              <w:t xml:space="preserve"> este o iniţiativă a Ministerului Educaţiei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 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 xml:space="preserve">Sursa: </w:t>
            </w:r>
            <w:r w:rsidRPr="00FC17AB">
              <w:rPr>
                <w:rFonts w:ascii="Times New Roman" w:hAnsi="Times New Roman"/>
                <w:i/>
                <w:color w:val="17365D"/>
                <w:sz w:val="22"/>
                <w:szCs w:val="22"/>
                <w:lang w:eastAsia="en-US"/>
              </w:rPr>
              <w:t>Ordinul nr. 5248/31.08.2011 al Ministerului Educației și Cercetării Științifice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„Data intrării în operațiunile FSE”</w:t>
            </w:r>
            <w:r w:rsidRPr="00FC17AB">
              <w:rPr>
                <w:rFonts w:ascii="Times New Roman" w:hAnsi="Times New Roman"/>
                <w:color w:val="17365D"/>
                <w:sz w:val="22"/>
                <w:szCs w:val="22"/>
                <w:lang w:eastAsia="en-US"/>
              </w:rPr>
              <w:t xml:space="preserve"> reprezintă „data la care persoana a beneficiat prima dată de sprijinul oferit prin operaţiune”. </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Anexa D – Orientare practică privind colectarea şi validarea datelor din orientările Comisiei Europene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”Operațiune”</w:t>
            </w:r>
            <w:r w:rsidRPr="00FC17AB">
              <w:rPr>
                <w:rFonts w:ascii="Times New Roman" w:hAnsi="Times New Roman"/>
                <w:color w:val="17365D"/>
                <w:sz w:val="22"/>
                <w:szCs w:val="22"/>
                <w:lang w:eastAsia="en-US"/>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Regulament (UE) Nr. 1303/2013 al Parlamentului European și al Consiliului din 17 decembrie 2013 de stabilire a unor dispoziții comune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”Învăţământul general obligatoriu”</w:t>
            </w:r>
            <w:r w:rsidRPr="00FC17AB">
              <w:rPr>
                <w:rFonts w:ascii="Times New Roman" w:hAnsi="Times New Roman"/>
                <w:color w:val="17365D"/>
                <w:sz w:val="22"/>
                <w:szCs w:val="22"/>
                <w:lang w:eastAsia="en-US"/>
              </w:rPr>
              <w:t xml:space="preserve"> este de 10 clase şi cuprinde învăţământul primar şi cel gimnazial. Învăţământul liceal devine obligatoriu până cel mai târziu în anul 2020.</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Sursa:</w:t>
            </w:r>
            <w:r w:rsidRPr="00FC17AB">
              <w:rPr>
                <w:rFonts w:ascii="Times New Roman" w:hAnsi="Times New Roman"/>
                <w:color w:val="17365D"/>
                <w:sz w:val="22"/>
                <w:szCs w:val="22"/>
                <w:lang w:eastAsia="en-US"/>
              </w:rPr>
              <w:t xml:space="preserve"> </w:t>
            </w:r>
            <w:r w:rsidRPr="00FC17AB">
              <w:rPr>
                <w:rFonts w:ascii="Times New Roman" w:hAnsi="Times New Roman"/>
                <w:i/>
                <w:color w:val="17365D"/>
                <w:sz w:val="22"/>
                <w:szCs w:val="22"/>
                <w:lang w:eastAsia="en-US"/>
              </w:rPr>
              <w:t>Legea educației naționale 1/2011, cu modificările și completările ulterioare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b/>
                <w:color w:val="17365D"/>
                <w:sz w:val="22"/>
                <w:szCs w:val="22"/>
                <w:lang w:eastAsia="en-US"/>
              </w:rPr>
              <w:t>"Loc de muncă"</w:t>
            </w:r>
            <w:r w:rsidRPr="00FC17AB">
              <w:rPr>
                <w:rFonts w:ascii="Times New Roman" w:hAnsi="Times New Roman"/>
                <w:color w:val="17365D"/>
                <w:sz w:val="22"/>
                <w:szCs w:val="22"/>
                <w:lang w:eastAsia="en-US"/>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11.13 f). </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Şi persoanele care desfăşoară activităţi independente într-o întreprindere, fermă sau cabinet profesional se consideră că este încadrată în muncă dacă se aplică oricare dintre următoarele: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1) Persoana lucrează în propria întreprindere, cabinet profesional sau fermă în scopul realizării de profit, chiar dacă întreprinderea nu reuşeşte să aducă profit.</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r w:rsidRPr="00FC17AB">
              <w:rPr>
                <w:rFonts w:ascii="Times New Roman" w:hAnsi="Times New Roman"/>
                <w:color w:val="17365D"/>
                <w:sz w:val="22"/>
                <w:szCs w:val="22"/>
                <w:lang w:eastAsia="en-US"/>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rsidR="00703452" w:rsidRPr="00FC17AB" w:rsidRDefault="00703452" w:rsidP="00FC17AB">
            <w:pPr>
              <w:pStyle w:val="ListParagraph"/>
              <w:spacing w:after="0" w:line="240" w:lineRule="auto"/>
              <w:ind w:left="0"/>
              <w:jc w:val="both"/>
              <w:rPr>
                <w:rFonts w:ascii="Times New Roman" w:hAnsi="Times New Roman"/>
                <w:color w:val="17365D"/>
                <w:sz w:val="22"/>
                <w:szCs w:val="22"/>
                <w:lang w:eastAsia="en-US"/>
              </w:rPr>
            </w:pPr>
          </w:p>
          <w:p w:rsidR="00703452" w:rsidRPr="00FC17AB" w:rsidRDefault="00703452" w:rsidP="00FC17AB">
            <w:pPr>
              <w:pStyle w:val="ListParagraph"/>
              <w:spacing w:after="0" w:line="240" w:lineRule="auto"/>
              <w:ind w:left="0"/>
              <w:jc w:val="both"/>
              <w:rPr>
                <w:rFonts w:ascii="Times New Roman" w:hAnsi="Times New Roman"/>
                <w:b/>
                <w:color w:val="FF0000"/>
                <w:sz w:val="22"/>
                <w:szCs w:val="22"/>
                <w:lang w:eastAsia="en-US"/>
              </w:rPr>
            </w:pPr>
            <w:r w:rsidRPr="00FC17AB">
              <w:rPr>
                <w:rFonts w:ascii="Times New Roman" w:hAnsi="Times New Roman"/>
                <w:b/>
                <w:color w:val="FF0000"/>
                <w:sz w:val="22"/>
                <w:szCs w:val="22"/>
                <w:lang w:eastAsia="en-US"/>
              </w:rPr>
              <w:t>DATELE VOR FI COLECTATE, MONITORIZATE ŞI RAPORTATE PENTRU URMĂTOARELE CATEGORII:</w:t>
            </w:r>
          </w:p>
          <w:p w:rsidR="00703452" w:rsidRPr="00FC17AB" w:rsidRDefault="00703452" w:rsidP="00FC17AB">
            <w:pPr>
              <w:pStyle w:val="ListParagraph"/>
              <w:spacing w:after="0" w:line="240" w:lineRule="auto"/>
              <w:ind w:left="0"/>
              <w:jc w:val="both"/>
              <w:rPr>
                <w:rFonts w:ascii="Times New Roman" w:hAnsi="Times New Roman"/>
                <w:b/>
                <w:color w:val="FF0000"/>
                <w:sz w:val="22"/>
                <w:szCs w:val="22"/>
                <w:lang w:eastAsia="en-US"/>
              </w:rPr>
            </w:pPr>
          </w:p>
          <w:p w:rsidR="00703452" w:rsidRPr="00DB23CB" w:rsidRDefault="00703452" w:rsidP="00B07514">
            <w:pPr>
              <w:pStyle w:val="ListParagraph"/>
              <w:tabs>
                <w:tab w:val="left" w:pos="224"/>
                <w:tab w:val="left" w:pos="571"/>
              </w:tabs>
              <w:spacing w:after="0" w:line="240" w:lineRule="auto"/>
              <w:ind w:left="0"/>
              <w:jc w:val="both"/>
              <w:rPr>
                <w:rFonts w:ascii="Times New Roman" w:hAnsi="Times New Roman"/>
                <w:b/>
                <w:color w:val="17365D"/>
                <w:sz w:val="22"/>
                <w:szCs w:val="22"/>
                <w:lang w:eastAsia="en-US"/>
              </w:rPr>
            </w:pPr>
            <w:r w:rsidRPr="00B07514">
              <w:rPr>
                <w:rFonts w:ascii="Times New Roman" w:hAnsi="Times New Roman"/>
                <w:b/>
                <w:color w:val="17365D"/>
                <w:sz w:val="22"/>
                <w:szCs w:val="22"/>
                <w:lang w:eastAsia="en-US"/>
              </w:rPr>
              <w:t>Regiuni mai puțin dezvoltate</w:t>
            </w:r>
            <w:r>
              <w:rPr>
                <w:rFonts w:ascii="Times New Roman" w:hAnsi="Times New Roman"/>
                <w:b/>
                <w:color w:val="17365D"/>
                <w:sz w:val="22"/>
                <w:szCs w:val="22"/>
                <w:lang w:eastAsia="en-US"/>
              </w:rPr>
              <w:t xml:space="preserve"> </w:t>
            </w:r>
            <w:r w:rsidRPr="00DB23CB">
              <w:rPr>
                <w:rFonts w:ascii="Times New Roman" w:hAnsi="Times New Roman"/>
                <w:b/>
                <w:color w:val="17365D"/>
                <w:sz w:val="22"/>
                <w:szCs w:val="22"/>
                <w:lang w:eastAsia="en-US"/>
              </w:rPr>
              <w:t xml:space="preserve">Sud-Vest Oltenia, Sud-Est şi Sud Muntenia </w:t>
            </w:r>
          </w:p>
        </w:tc>
      </w:tr>
    </w:tbl>
    <w:p w:rsidR="00703452" w:rsidRPr="004866D1" w:rsidRDefault="00703452" w:rsidP="008C274B">
      <w:pPr>
        <w:jc w:val="both"/>
        <w:rPr>
          <w:rFonts w:ascii="Times New Roman" w:hAnsi="Times New Roman"/>
          <w:color w:val="17365D"/>
        </w:rPr>
      </w:pPr>
    </w:p>
    <w:p w:rsidR="00703452" w:rsidRPr="004866D1" w:rsidRDefault="00703452" w:rsidP="008C274B">
      <w:pPr>
        <w:jc w:val="both"/>
        <w:rPr>
          <w:rFonts w:ascii="Times New Roman" w:hAnsi="Times New Roman"/>
          <w:color w:val="17365D"/>
        </w:rPr>
      </w:pPr>
    </w:p>
    <w:sectPr w:rsidR="00703452" w:rsidRPr="004866D1"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452" w:rsidRDefault="00703452" w:rsidP="00321234">
      <w:pPr>
        <w:spacing w:after="0" w:line="240" w:lineRule="auto"/>
      </w:pPr>
      <w:r>
        <w:separator/>
      </w:r>
    </w:p>
  </w:endnote>
  <w:endnote w:type="continuationSeparator" w:id="0">
    <w:p w:rsidR="00703452" w:rsidRDefault="00703452" w:rsidP="00321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452" w:rsidRPr="004866D1" w:rsidRDefault="00703452">
    <w:pPr>
      <w:pStyle w:val="Footer"/>
      <w:jc w:val="right"/>
      <w:rPr>
        <w:rFonts w:ascii="Times New Roman" w:hAnsi="Times New Roman"/>
        <w:b/>
      </w:rPr>
    </w:pPr>
    <w:r w:rsidRPr="004866D1">
      <w:rPr>
        <w:rFonts w:ascii="Times New Roman" w:hAnsi="Times New Roman"/>
        <w:b/>
      </w:rPr>
      <w:fldChar w:fldCharType="begin"/>
    </w:r>
    <w:r w:rsidRPr="004866D1">
      <w:rPr>
        <w:rFonts w:ascii="Times New Roman" w:hAnsi="Times New Roman"/>
        <w:b/>
      </w:rPr>
      <w:instrText>PAGE   \* MERGEFORMAT</w:instrText>
    </w:r>
    <w:r w:rsidRPr="004866D1">
      <w:rPr>
        <w:rFonts w:ascii="Times New Roman" w:hAnsi="Times New Roman"/>
        <w:b/>
      </w:rPr>
      <w:fldChar w:fldCharType="separate"/>
    </w:r>
    <w:r>
      <w:rPr>
        <w:rFonts w:ascii="Times New Roman" w:hAnsi="Times New Roman"/>
        <w:b/>
        <w:noProof/>
      </w:rPr>
      <w:t>8</w:t>
    </w:r>
    <w:r w:rsidRPr="004866D1">
      <w:rPr>
        <w:rFonts w:ascii="Times New Roman" w:hAnsi="Times New Roman"/>
        <w:b/>
      </w:rPr>
      <w:fldChar w:fldCharType="end"/>
    </w:r>
  </w:p>
  <w:p w:rsidR="00703452" w:rsidRPr="004866D1" w:rsidRDefault="00703452" w:rsidP="00AE3D62">
    <w:pPr>
      <w:pStyle w:val="Footer"/>
      <w:jc w:val="center"/>
      <w:rPr>
        <w:rFonts w:ascii="Times New Roman" w:hAnsi="Times New Roman"/>
        <w:b/>
        <w:i/>
        <w:color w:val="1F4E79"/>
      </w:rPr>
    </w:pPr>
  </w:p>
  <w:p w:rsidR="00703452" w:rsidRPr="004866D1" w:rsidRDefault="00703452" w:rsidP="00AE3D62">
    <w:pPr>
      <w:pStyle w:val="Footer"/>
      <w:jc w:val="center"/>
      <w:rPr>
        <w:rFonts w:ascii="Times New Roman" w:hAnsi="Times New Roman"/>
        <w:b/>
        <w:i/>
        <w:color w:val="1F4E79"/>
      </w:rPr>
    </w:pPr>
    <w:r w:rsidRPr="004866D1">
      <w:rPr>
        <w:rFonts w:ascii="Times New Roman" w:hAnsi="Times New Roman"/>
        <w:b/>
        <w:i/>
        <w:color w:val="1F4E79"/>
      </w:rPr>
      <w:t>Ghidul solicitantului – condiții specifice</w:t>
    </w:r>
  </w:p>
  <w:p w:rsidR="00703452" w:rsidRPr="004866D1" w:rsidRDefault="00703452" w:rsidP="00AE3D62">
    <w:pPr>
      <w:pStyle w:val="Footer"/>
      <w:jc w:val="center"/>
      <w:rPr>
        <w:rFonts w:ascii="Times New Roman" w:hAnsi="Times New Roman"/>
      </w:rPr>
    </w:pPr>
    <w:r w:rsidRPr="004866D1">
      <w:rPr>
        <w:rFonts w:ascii="Times New Roman" w:hAnsi="Times New Roman"/>
        <w:b/>
        <w:i/>
        <w:color w:val="1F4E79"/>
      </w:rPr>
      <w:t xml:space="preserve">”Măsuri de educație de </w:t>
    </w:r>
    <w:r>
      <w:rPr>
        <w:rFonts w:ascii="Times New Roman" w:hAnsi="Times New Roman"/>
        <w:b/>
        <w:i/>
        <w:color w:val="1F4E79"/>
      </w:rPr>
      <w:t xml:space="preserve">tip </w:t>
    </w:r>
    <w:r w:rsidRPr="004866D1">
      <w:rPr>
        <w:rFonts w:ascii="Times New Roman" w:hAnsi="Times New Roman"/>
        <w:b/>
        <w:i/>
        <w:color w:val="1F4E79"/>
      </w:rPr>
      <w:t>a doua șansă”</w:t>
    </w:r>
  </w:p>
  <w:p w:rsidR="00703452" w:rsidRDefault="007034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452" w:rsidRDefault="00703452" w:rsidP="00321234">
      <w:pPr>
        <w:spacing w:after="0" w:line="240" w:lineRule="auto"/>
      </w:pPr>
      <w:r>
        <w:separator/>
      </w:r>
    </w:p>
  </w:footnote>
  <w:footnote w:type="continuationSeparator" w:id="0">
    <w:p w:rsidR="00703452" w:rsidRDefault="00703452" w:rsidP="003212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D22EC"/>
    <w:multiLevelType w:val="hybridMultilevel"/>
    <w:tmpl w:val="F6E2F2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44680A9A"/>
    <w:multiLevelType w:val="hybridMultilevel"/>
    <w:tmpl w:val="B660F0F0"/>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2B29AC"/>
    <w:multiLevelType w:val="hybridMultilevel"/>
    <w:tmpl w:val="C0B6BD8C"/>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ECF2FC8"/>
    <w:multiLevelType w:val="hybridMultilevel"/>
    <w:tmpl w:val="A63E0A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BD4138"/>
    <w:multiLevelType w:val="hybridMultilevel"/>
    <w:tmpl w:val="7B38B3BA"/>
    <w:lvl w:ilvl="0" w:tplc="146014B0">
      <w:start w:val="1"/>
      <w:numFmt w:val="bullet"/>
      <w:lvlText w:val=""/>
      <w:lvlJc w:val="left"/>
      <w:pPr>
        <w:ind w:left="660" w:hanging="360"/>
      </w:pPr>
      <w:rPr>
        <w:rFonts w:ascii="Wingdings 3" w:hAnsi="Wingdings 3" w:hint="default"/>
        <w:color w:val="FFC000"/>
      </w:rPr>
    </w:lvl>
    <w:lvl w:ilvl="1" w:tplc="04090003" w:tentative="1">
      <w:start w:val="1"/>
      <w:numFmt w:val="bullet"/>
      <w:lvlText w:val="o"/>
      <w:lvlJc w:val="left"/>
      <w:pPr>
        <w:ind w:left="1380" w:hanging="360"/>
      </w:pPr>
      <w:rPr>
        <w:rFonts w:ascii="Courier New" w:hAnsi="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0">
    <w:nsid w:val="590154BA"/>
    <w:multiLevelType w:val="hybridMultilevel"/>
    <w:tmpl w:val="6DF832B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64CF2256"/>
    <w:multiLevelType w:val="hybridMultilevel"/>
    <w:tmpl w:val="0B26F3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13"/>
  </w:num>
  <w:num w:numId="4">
    <w:abstractNumId w:val="2"/>
  </w:num>
  <w:num w:numId="5">
    <w:abstractNumId w:val="1"/>
  </w:num>
  <w:num w:numId="6">
    <w:abstractNumId w:val="0"/>
  </w:num>
  <w:num w:numId="7">
    <w:abstractNumId w:val="7"/>
  </w:num>
  <w:num w:numId="8">
    <w:abstractNumId w:val="6"/>
  </w:num>
  <w:num w:numId="9">
    <w:abstractNumId w:val="12"/>
  </w:num>
  <w:num w:numId="10">
    <w:abstractNumId w:val="10"/>
  </w:num>
  <w:num w:numId="11">
    <w:abstractNumId w:val="8"/>
  </w:num>
  <w:num w:numId="12">
    <w:abstractNumId w:val="9"/>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6A51"/>
    <w:rsid w:val="00000117"/>
    <w:rsid w:val="000241B2"/>
    <w:rsid w:val="00030122"/>
    <w:rsid w:val="00037FA4"/>
    <w:rsid w:val="00046A51"/>
    <w:rsid w:val="00057836"/>
    <w:rsid w:val="00060F74"/>
    <w:rsid w:val="00076143"/>
    <w:rsid w:val="000A046E"/>
    <w:rsid w:val="000B31E4"/>
    <w:rsid w:val="000C6EE9"/>
    <w:rsid w:val="000D2CA5"/>
    <w:rsid w:val="000F079B"/>
    <w:rsid w:val="000F22FE"/>
    <w:rsid w:val="001005BA"/>
    <w:rsid w:val="001115B4"/>
    <w:rsid w:val="00131225"/>
    <w:rsid w:val="00134D20"/>
    <w:rsid w:val="0013782B"/>
    <w:rsid w:val="00157B25"/>
    <w:rsid w:val="001821B4"/>
    <w:rsid w:val="001858BE"/>
    <w:rsid w:val="001977F7"/>
    <w:rsid w:val="001A3B84"/>
    <w:rsid w:val="001B088E"/>
    <w:rsid w:val="001B6D11"/>
    <w:rsid w:val="001C0D58"/>
    <w:rsid w:val="00201563"/>
    <w:rsid w:val="00201824"/>
    <w:rsid w:val="002257BD"/>
    <w:rsid w:val="0023134A"/>
    <w:rsid w:val="002616A7"/>
    <w:rsid w:val="0027473F"/>
    <w:rsid w:val="00297157"/>
    <w:rsid w:val="002A63C3"/>
    <w:rsid w:val="002B2A34"/>
    <w:rsid w:val="002C3357"/>
    <w:rsid w:val="002D3618"/>
    <w:rsid w:val="002E5906"/>
    <w:rsid w:val="00321234"/>
    <w:rsid w:val="00321452"/>
    <w:rsid w:val="00330E58"/>
    <w:rsid w:val="00340B5C"/>
    <w:rsid w:val="003618E8"/>
    <w:rsid w:val="00383BAC"/>
    <w:rsid w:val="003A471F"/>
    <w:rsid w:val="003B3CE1"/>
    <w:rsid w:val="003B7D5F"/>
    <w:rsid w:val="003D4CD8"/>
    <w:rsid w:val="003D6F7A"/>
    <w:rsid w:val="003F77F1"/>
    <w:rsid w:val="004072E3"/>
    <w:rsid w:val="004371A5"/>
    <w:rsid w:val="00437A26"/>
    <w:rsid w:val="0048221E"/>
    <w:rsid w:val="004866D1"/>
    <w:rsid w:val="00486ECB"/>
    <w:rsid w:val="0049752A"/>
    <w:rsid w:val="004A7389"/>
    <w:rsid w:val="004C511A"/>
    <w:rsid w:val="004D1A76"/>
    <w:rsid w:val="004D7371"/>
    <w:rsid w:val="004E3FFC"/>
    <w:rsid w:val="004F2F83"/>
    <w:rsid w:val="005070C6"/>
    <w:rsid w:val="005167C9"/>
    <w:rsid w:val="00563534"/>
    <w:rsid w:val="0057480C"/>
    <w:rsid w:val="005A01EC"/>
    <w:rsid w:val="005A3D1B"/>
    <w:rsid w:val="005C65C7"/>
    <w:rsid w:val="005D1224"/>
    <w:rsid w:val="005D1BB2"/>
    <w:rsid w:val="005E628B"/>
    <w:rsid w:val="005F2822"/>
    <w:rsid w:val="00620E85"/>
    <w:rsid w:val="006425C6"/>
    <w:rsid w:val="00643BC3"/>
    <w:rsid w:val="00674E1E"/>
    <w:rsid w:val="00690A26"/>
    <w:rsid w:val="00695171"/>
    <w:rsid w:val="006C699B"/>
    <w:rsid w:val="006C7854"/>
    <w:rsid w:val="006D3494"/>
    <w:rsid w:val="006E05C7"/>
    <w:rsid w:val="00701288"/>
    <w:rsid w:val="00703452"/>
    <w:rsid w:val="00707A74"/>
    <w:rsid w:val="007336A7"/>
    <w:rsid w:val="00746BEA"/>
    <w:rsid w:val="00773142"/>
    <w:rsid w:val="00796AF9"/>
    <w:rsid w:val="007B0642"/>
    <w:rsid w:val="008233FB"/>
    <w:rsid w:val="008252D4"/>
    <w:rsid w:val="008350C0"/>
    <w:rsid w:val="00854121"/>
    <w:rsid w:val="00854898"/>
    <w:rsid w:val="00862843"/>
    <w:rsid w:val="0087640C"/>
    <w:rsid w:val="00876A67"/>
    <w:rsid w:val="008820EC"/>
    <w:rsid w:val="00884DD6"/>
    <w:rsid w:val="008B7E5B"/>
    <w:rsid w:val="008C274B"/>
    <w:rsid w:val="008C4C3D"/>
    <w:rsid w:val="008C6918"/>
    <w:rsid w:val="008D1CAB"/>
    <w:rsid w:val="008D759E"/>
    <w:rsid w:val="008E20F2"/>
    <w:rsid w:val="008E46F1"/>
    <w:rsid w:val="008F1A39"/>
    <w:rsid w:val="008F27F9"/>
    <w:rsid w:val="008F4AD9"/>
    <w:rsid w:val="009208F8"/>
    <w:rsid w:val="00923077"/>
    <w:rsid w:val="00950576"/>
    <w:rsid w:val="00960CEE"/>
    <w:rsid w:val="00966C3B"/>
    <w:rsid w:val="009940BE"/>
    <w:rsid w:val="009A6243"/>
    <w:rsid w:val="00A31973"/>
    <w:rsid w:val="00A35BC9"/>
    <w:rsid w:val="00A536F8"/>
    <w:rsid w:val="00A54295"/>
    <w:rsid w:val="00A93980"/>
    <w:rsid w:val="00AA1824"/>
    <w:rsid w:val="00AA19E4"/>
    <w:rsid w:val="00AB24FB"/>
    <w:rsid w:val="00AC3A2C"/>
    <w:rsid w:val="00AE3D62"/>
    <w:rsid w:val="00AF7135"/>
    <w:rsid w:val="00B07514"/>
    <w:rsid w:val="00B154C6"/>
    <w:rsid w:val="00B170D3"/>
    <w:rsid w:val="00B251B4"/>
    <w:rsid w:val="00B76A8B"/>
    <w:rsid w:val="00B94DC6"/>
    <w:rsid w:val="00BA362B"/>
    <w:rsid w:val="00BA52E2"/>
    <w:rsid w:val="00BB074E"/>
    <w:rsid w:val="00BC48C0"/>
    <w:rsid w:val="00BD02D7"/>
    <w:rsid w:val="00BE1256"/>
    <w:rsid w:val="00BE7363"/>
    <w:rsid w:val="00BF454A"/>
    <w:rsid w:val="00C02765"/>
    <w:rsid w:val="00C053AF"/>
    <w:rsid w:val="00C074A3"/>
    <w:rsid w:val="00C10518"/>
    <w:rsid w:val="00C1055A"/>
    <w:rsid w:val="00C24283"/>
    <w:rsid w:val="00C255A0"/>
    <w:rsid w:val="00C30B3E"/>
    <w:rsid w:val="00C73B11"/>
    <w:rsid w:val="00C771FF"/>
    <w:rsid w:val="00C809C4"/>
    <w:rsid w:val="00C96BBA"/>
    <w:rsid w:val="00CD6BEA"/>
    <w:rsid w:val="00CE3C1A"/>
    <w:rsid w:val="00CE4E2D"/>
    <w:rsid w:val="00CE6F37"/>
    <w:rsid w:val="00D11001"/>
    <w:rsid w:val="00D232B0"/>
    <w:rsid w:val="00D26114"/>
    <w:rsid w:val="00D3150D"/>
    <w:rsid w:val="00D47B68"/>
    <w:rsid w:val="00D60850"/>
    <w:rsid w:val="00D64836"/>
    <w:rsid w:val="00D71204"/>
    <w:rsid w:val="00D71EDD"/>
    <w:rsid w:val="00DA4B4C"/>
    <w:rsid w:val="00DB23CB"/>
    <w:rsid w:val="00DB6EEE"/>
    <w:rsid w:val="00DC1D80"/>
    <w:rsid w:val="00DC39A6"/>
    <w:rsid w:val="00E02972"/>
    <w:rsid w:val="00E04A42"/>
    <w:rsid w:val="00E25D73"/>
    <w:rsid w:val="00E40013"/>
    <w:rsid w:val="00E45EC3"/>
    <w:rsid w:val="00E460E7"/>
    <w:rsid w:val="00E733A7"/>
    <w:rsid w:val="00E86C95"/>
    <w:rsid w:val="00EB34F3"/>
    <w:rsid w:val="00EE02B5"/>
    <w:rsid w:val="00EE1A64"/>
    <w:rsid w:val="00EF0F27"/>
    <w:rsid w:val="00EF7B48"/>
    <w:rsid w:val="00F30362"/>
    <w:rsid w:val="00F41BA5"/>
    <w:rsid w:val="00F60382"/>
    <w:rsid w:val="00F77230"/>
    <w:rsid w:val="00F80806"/>
    <w:rsid w:val="00F860C5"/>
    <w:rsid w:val="00F863C8"/>
    <w:rsid w:val="00F92FDC"/>
    <w:rsid w:val="00FC17AB"/>
    <w:rsid w:val="00FC21CE"/>
    <w:rsid w:val="00FD443F"/>
    <w:rsid w:val="00FE4A6C"/>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pPr>
      <w:spacing w:after="200" w:line="276" w:lineRule="auto"/>
    </w:pPr>
    <w:rPr>
      <w:lang w:eastAsia="en-US"/>
    </w:rPr>
  </w:style>
  <w:style w:type="paragraph" w:styleId="Heading1">
    <w:name w:val="heading 1"/>
    <w:basedOn w:val="Normal"/>
    <w:next w:val="Normal"/>
    <w:link w:val="Heading1Char"/>
    <w:uiPriority w:val="99"/>
    <w:qFormat/>
    <w:rsid w:val="00330E58"/>
    <w:pPr>
      <w:keepNext/>
      <w:keepLines/>
      <w:spacing w:before="480" w:after="0"/>
      <w:outlineLvl w:val="0"/>
    </w:pPr>
    <w:rPr>
      <w:rFonts w:ascii="Cambria" w:eastAsia="MS Gothic"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0E58"/>
    <w:rPr>
      <w:rFonts w:ascii="Cambria" w:eastAsia="MS Gothic" w:hAnsi="Cambria" w:cs="Times New Roman"/>
      <w:b/>
      <w:bCs/>
      <w:color w:val="365F91"/>
      <w:sz w:val="28"/>
      <w:szCs w:val="28"/>
    </w:rPr>
  </w:style>
  <w:style w:type="paragraph" w:styleId="BalloonText">
    <w:name w:val="Balloon Text"/>
    <w:basedOn w:val="Normal"/>
    <w:link w:val="BalloonTextChar"/>
    <w:uiPriority w:val="99"/>
    <w:semiHidden/>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2FDC"/>
    <w:rPr>
      <w:rFonts w:ascii="Tahoma" w:hAnsi="Tahoma" w:cs="Tahoma"/>
      <w:sz w:val="16"/>
      <w:szCs w:val="16"/>
    </w:rPr>
  </w:style>
  <w:style w:type="character" w:styleId="Strong">
    <w:name w:val="Strong"/>
    <w:basedOn w:val="DefaultParagraphFont"/>
    <w:uiPriority w:val="99"/>
    <w:qFormat/>
    <w:rsid w:val="0087640C"/>
    <w:rPr>
      <w:rFonts w:cs="Times New Roman"/>
      <w:b/>
      <w:bCs/>
    </w:rPr>
  </w:style>
  <w:style w:type="character" w:styleId="Emphasis">
    <w:name w:val="Emphasis"/>
    <w:basedOn w:val="DefaultParagraphFont"/>
    <w:uiPriority w:val="99"/>
    <w:qFormat/>
    <w:rsid w:val="0087640C"/>
    <w:rPr>
      <w:rFonts w:cs="Times New Roman"/>
      <w:i/>
      <w:iCs/>
    </w:rPr>
  </w:style>
  <w:style w:type="paragraph" w:styleId="ListParagraph">
    <w:name w:val="List Paragraph"/>
    <w:aliases w:val="Normal bullet 2,List Paragraph1,body 2,List Paragraph11,List Paragraph111"/>
    <w:basedOn w:val="Normal"/>
    <w:link w:val="ListParagraphChar"/>
    <w:uiPriority w:val="99"/>
    <w:qFormat/>
    <w:rsid w:val="0087640C"/>
    <w:pPr>
      <w:ind w:left="720"/>
      <w:contextualSpacing/>
    </w:pPr>
    <w:rPr>
      <w:sz w:val="20"/>
      <w:szCs w:val="20"/>
      <w:lang w:eastAsia="ro-RO"/>
    </w:rPr>
  </w:style>
  <w:style w:type="table" w:styleId="TableGrid">
    <w:name w:val="Table Grid"/>
    <w:basedOn w:val="TableNormal"/>
    <w:uiPriority w:val="99"/>
    <w:rsid w:val="00046A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21234"/>
    <w:rPr>
      <w:rFonts w:cs="Times New Roman"/>
    </w:rPr>
  </w:style>
  <w:style w:type="paragraph" w:styleId="Footer">
    <w:name w:val="footer"/>
    <w:basedOn w:val="Normal"/>
    <w:link w:val="FooterChar"/>
    <w:uiPriority w:val="99"/>
    <w:rsid w:val="0032123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21234"/>
    <w:rPr>
      <w:rFonts w:cs="Times New Roman"/>
    </w:rPr>
  </w:style>
  <w:style w:type="character" w:customStyle="1" w:styleId="ListParagraphChar">
    <w:name w:val="List Paragraph Char"/>
    <w:aliases w:val="Normal bullet 2 Char,List Paragraph1 Char,body 2 Char,List Paragraph11 Char,List Paragraph111 Char"/>
    <w:link w:val="ListParagraph"/>
    <w:uiPriority w:val="99"/>
    <w:locked/>
    <w:rsid w:val="005A01EC"/>
  </w:style>
  <w:style w:type="character" w:styleId="Hyperlink">
    <w:name w:val="Hyperlink"/>
    <w:basedOn w:val="DefaultParagraphFont"/>
    <w:uiPriority w:val="99"/>
    <w:rsid w:val="008350C0"/>
    <w:rPr>
      <w:rFonts w:cs="Times New Roman"/>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8350C0"/>
    <w:rPr>
      <w:rFonts w:ascii="PF Square Sans Pro Medium" w:hAnsi="PF Square Sans Pro Medium" w:cs="PF Square Sans Pro Medium"/>
      <w:color w:val="000000"/>
      <w:sz w:val="20"/>
      <w:szCs w:val="20"/>
      <w:lang w:eastAsia="ar-SA" w:bidi="ar-SA"/>
    </w:rPr>
  </w:style>
  <w:style w:type="character" w:styleId="CommentReference">
    <w:name w:val="annotation reference"/>
    <w:basedOn w:val="DefaultParagraphFont"/>
    <w:uiPriority w:val="99"/>
    <w:semiHidden/>
    <w:rsid w:val="0013782B"/>
    <w:rPr>
      <w:rFonts w:cs="Times New Roman"/>
      <w:sz w:val="18"/>
      <w:szCs w:val="18"/>
    </w:rPr>
  </w:style>
  <w:style w:type="paragraph" w:styleId="CommentText">
    <w:name w:val="annotation text"/>
    <w:basedOn w:val="Normal"/>
    <w:link w:val="CommentTextChar"/>
    <w:uiPriority w:val="99"/>
    <w:semiHidden/>
    <w:rsid w:val="0013782B"/>
    <w:pPr>
      <w:spacing w:line="240" w:lineRule="auto"/>
    </w:pPr>
    <w:rPr>
      <w:sz w:val="24"/>
      <w:szCs w:val="24"/>
    </w:rPr>
  </w:style>
  <w:style w:type="character" w:customStyle="1" w:styleId="CommentTextChar">
    <w:name w:val="Comment Text Char"/>
    <w:basedOn w:val="DefaultParagraphFont"/>
    <w:link w:val="CommentText"/>
    <w:uiPriority w:val="99"/>
    <w:semiHidden/>
    <w:locked/>
    <w:rsid w:val="0013782B"/>
    <w:rPr>
      <w:rFonts w:cs="Times New Roman"/>
      <w:sz w:val="24"/>
      <w:szCs w:val="24"/>
    </w:rPr>
  </w:style>
  <w:style w:type="paragraph" w:styleId="CommentSubject">
    <w:name w:val="annotation subject"/>
    <w:basedOn w:val="CommentText"/>
    <w:next w:val="CommentText"/>
    <w:link w:val="CommentSubjectChar"/>
    <w:uiPriority w:val="99"/>
    <w:semiHidden/>
    <w:rsid w:val="0013782B"/>
    <w:rPr>
      <w:b/>
      <w:bCs/>
      <w:sz w:val="20"/>
      <w:szCs w:val="20"/>
    </w:rPr>
  </w:style>
  <w:style w:type="character" w:customStyle="1" w:styleId="CommentSubjectChar">
    <w:name w:val="Comment Subject Char"/>
    <w:basedOn w:val="CommentTextChar"/>
    <w:link w:val="CommentSubject"/>
    <w:uiPriority w:val="99"/>
    <w:semiHidden/>
    <w:locked/>
    <w:rsid w:val="0013782B"/>
    <w:rPr>
      <w:b/>
      <w:bCs/>
      <w:sz w:val="20"/>
      <w:szCs w:val="20"/>
    </w:rPr>
  </w:style>
</w:styles>
</file>

<file path=word/webSettings.xml><?xml version="1.0" encoding="utf-8"?>
<w:webSettings xmlns:r="http://schemas.openxmlformats.org/officeDocument/2006/relationships" xmlns:w="http://schemas.openxmlformats.org/wordprocessingml/2006/main">
  <w:divs>
    <w:div w:id="257252711">
      <w:marLeft w:val="0"/>
      <w:marRight w:val="0"/>
      <w:marTop w:val="0"/>
      <w:marBottom w:val="0"/>
      <w:divBdr>
        <w:top w:val="none" w:sz="0" w:space="0" w:color="auto"/>
        <w:left w:val="none" w:sz="0" w:space="0" w:color="auto"/>
        <w:bottom w:val="none" w:sz="0" w:space="0" w:color="auto"/>
        <w:right w:val="none" w:sz="0" w:space="0" w:color="auto"/>
      </w:divBdr>
    </w:div>
    <w:div w:id="257252712">
      <w:marLeft w:val="0"/>
      <w:marRight w:val="0"/>
      <w:marTop w:val="0"/>
      <w:marBottom w:val="0"/>
      <w:divBdr>
        <w:top w:val="none" w:sz="0" w:space="0" w:color="auto"/>
        <w:left w:val="none" w:sz="0" w:space="0" w:color="auto"/>
        <w:bottom w:val="none" w:sz="0" w:space="0" w:color="auto"/>
        <w:right w:val="none" w:sz="0" w:space="0" w:color="auto"/>
      </w:divBdr>
    </w:div>
    <w:div w:id="257252713">
      <w:marLeft w:val="0"/>
      <w:marRight w:val="0"/>
      <w:marTop w:val="0"/>
      <w:marBottom w:val="0"/>
      <w:divBdr>
        <w:top w:val="none" w:sz="0" w:space="0" w:color="auto"/>
        <w:left w:val="none" w:sz="0" w:space="0" w:color="auto"/>
        <w:bottom w:val="none" w:sz="0" w:space="0" w:color="auto"/>
        <w:right w:val="none" w:sz="0" w:space="0" w:color="auto"/>
      </w:divBdr>
    </w:div>
    <w:div w:id="257252714">
      <w:marLeft w:val="0"/>
      <w:marRight w:val="0"/>
      <w:marTop w:val="0"/>
      <w:marBottom w:val="0"/>
      <w:divBdr>
        <w:top w:val="none" w:sz="0" w:space="0" w:color="auto"/>
        <w:left w:val="none" w:sz="0" w:space="0" w:color="auto"/>
        <w:bottom w:val="none" w:sz="0" w:space="0" w:color="auto"/>
        <w:right w:val="none" w:sz="0" w:space="0" w:color="auto"/>
      </w:divBdr>
    </w:div>
    <w:div w:id="257252715">
      <w:marLeft w:val="0"/>
      <w:marRight w:val="0"/>
      <w:marTop w:val="0"/>
      <w:marBottom w:val="0"/>
      <w:divBdr>
        <w:top w:val="none" w:sz="0" w:space="0" w:color="auto"/>
        <w:left w:val="none" w:sz="0" w:space="0" w:color="auto"/>
        <w:bottom w:val="none" w:sz="0" w:space="0" w:color="auto"/>
        <w:right w:val="none" w:sz="0" w:space="0" w:color="auto"/>
      </w:divBdr>
    </w:div>
    <w:div w:id="257252716">
      <w:marLeft w:val="0"/>
      <w:marRight w:val="0"/>
      <w:marTop w:val="0"/>
      <w:marBottom w:val="0"/>
      <w:divBdr>
        <w:top w:val="none" w:sz="0" w:space="0" w:color="auto"/>
        <w:left w:val="none" w:sz="0" w:space="0" w:color="auto"/>
        <w:bottom w:val="none" w:sz="0" w:space="0" w:color="auto"/>
        <w:right w:val="none" w:sz="0" w:space="0" w:color="auto"/>
      </w:divBdr>
    </w:div>
    <w:div w:id="257252717">
      <w:marLeft w:val="0"/>
      <w:marRight w:val="0"/>
      <w:marTop w:val="0"/>
      <w:marBottom w:val="0"/>
      <w:divBdr>
        <w:top w:val="none" w:sz="0" w:space="0" w:color="auto"/>
        <w:left w:val="none" w:sz="0" w:space="0" w:color="auto"/>
        <w:bottom w:val="none" w:sz="0" w:space="0" w:color="auto"/>
        <w:right w:val="none" w:sz="0" w:space="0" w:color="auto"/>
      </w:divBdr>
    </w:div>
    <w:div w:id="257252718">
      <w:marLeft w:val="0"/>
      <w:marRight w:val="0"/>
      <w:marTop w:val="0"/>
      <w:marBottom w:val="0"/>
      <w:divBdr>
        <w:top w:val="none" w:sz="0" w:space="0" w:color="auto"/>
        <w:left w:val="none" w:sz="0" w:space="0" w:color="auto"/>
        <w:bottom w:val="none" w:sz="0" w:space="0" w:color="auto"/>
        <w:right w:val="none" w:sz="0" w:space="0" w:color="auto"/>
      </w:divBdr>
    </w:div>
    <w:div w:id="257252719">
      <w:marLeft w:val="0"/>
      <w:marRight w:val="0"/>
      <w:marTop w:val="0"/>
      <w:marBottom w:val="0"/>
      <w:divBdr>
        <w:top w:val="none" w:sz="0" w:space="0" w:color="auto"/>
        <w:left w:val="none" w:sz="0" w:space="0" w:color="auto"/>
        <w:bottom w:val="none" w:sz="0" w:space="0" w:color="auto"/>
        <w:right w:val="none" w:sz="0" w:space="0" w:color="auto"/>
      </w:divBdr>
    </w:div>
    <w:div w:id="257252720">
      <w:marLeft w:val="0"/>
      <w:marRight w:val="0"/>
      <w:marTop w:val="0"/>
      <w:marBottom w:val="0"/>
      <w:divBdr>
        <w:top w:val="none" w:sz="0" w:space="0" w:color="auto"/>
        <w:left w:val="none" w:sz="0" w:space="0" w:color="auto"/>
        <w:bottom w:val="none" w:sz="0" w:space="0" w:color="auto"/>
        <w:right w:val="none" w:sz="0" w:space="0" w:color="auto"/>
      </w:divBdr>
    </w:div>
    <w:div w:id="257252721">
      <w:marLeft w:val="0"/>
      <w:marRight w:val="0"/>
      <w:marTop w:val="0"/>
      <w:marBottom w:val="0"/>
      <w:divBdr>
        <w:top w:val="none" w:sz="0" w:space="0" w:color="auto"/>
        <w:left w:val="none" w:sz="0" w:space="0" w:color="auto"/>
        <w:bottom w:val="none" w:sz="0" w:space="0" w:color="auto"/>
        <w:right w:val="none" w:sz="0" w:space="0" w:color="auto"/>
      </w:divBdr>
    </w:div>
    <w:div w:id="257252722">
      <w:marLeft w:val="0"/>
      <w:marRight w:val="0"/>
      <w:marTop w:val="0"/>
      <w:marBottom w:val="0"/>
      <w:divBdr>
        <w:top w:val="none" w:sz="0" w:space="0" w:color="auto"/>
        <w:left w:val="none" w:sz="0" w:space="0" w:color="auto"/>
        <w:bottom w:val="none" w:sz="0" w:space="0" w:color="auto"/>
        <w:right w:val="none" w:sz="0" w:space="0" w:color="auto"/>
      </w:divBdr>
    </w:div>
    <w:div w:id="257252723">
      <w:marLeft w:val="0"/>
      <w:marRight w:val="0"/>
      <w:marTop w:val="0"/>
      <w:marBottom w:val="0"/>
      <w:divBdr>
        <w:top w:val="none" w:sz="0" w:space="0" w:color="auto"/>
        <w:left w:val="none" w:sz="0" w:space="0" w:color="auto"/>
        <w:bottom w:val="none" w:sz="0" w:space="0" w:color="auto"/>
        <w:right w:val="none" w:sz="0" w:space="0" w:color="auto"/>
      </w:divBdr>
    </w:div>
    <w:div w:id="257252724">
      <w:marLeft w:val="0"/>
      <w:marRight w:val="0"/>
      <w:marTop w:val="0"/>
      <w:marBottom w:val="0"/>
      <w:divBdr>
        <w:top w:val="none" w:sz="0" w:space="0" w:color="auto"/>
        <w:left w:val="none" w:sz="0" w:space="0" w:color="auto"/>
        <w:bottom w:val="none" w:sz="0" w:space="0" w:color="auto"/>
        <w:right w:val="none" w:sz="0" w:space="0" w:color="auto"/>
      </w:divBdr>
    </w:div>
    <w:div w:id="257252725">
      <w:marLeft w:val="0"/>
      <w:marRight w:val="0"/>
      <w:marTop w:val="0"/>
      <w:marBottom w:val="0"/>
      <w:divBdr>
        <w:top w:val="none" w:sz="0" w:space="0" w:color="auto"/>
        <w:left w:val="none" w:sz="0" w:space="0" w:color="auto"/>
        <w:bottom w:val="none" w:sz="0" w:space="0" w:color="auto"/>
        <w:right w:val="none" w:sz="0" w:space="0" w:color="auto"/>
      </w:divBdr>
    </w:div>
    <w:div w:id="257252726">
      <w:marLeft w:val="0"/>
      <w:marRight w:val="0"/>
      <w:marTop w:val="0"/>
      <w:marBottom w:val="0"/>
      <w:divBdr>
        <w:top w:val="none" w:sz="0" w:space="0" w:color="auto"/>
        <w:left w:val="none" w:sz="0" w:space="0" w:color="auto"/>
        <w:bottom w:val="none" w:sz="0" w:space="0" w:color="auto"/>
        <w:right w:val="none" w:sz="0" w:space="0" w:color="auto"/>
      </w:divBdr>
    </w:div>
    <w:div w:id="257252727">
      <w:marLeft w:val="0"/>
      <w:marRight w:val="0"/>
      <w:marTop w:val="0"/>
      <w:marBottom w:val="0"/>
      <w:divBdr>
        <w:top w:val="none" w:sz="0" w:space="0" w:color="auto"/>
        <w:left w:val="none" w:sz="0" w:space="0" w:color="auto"/>
        <w:bottom w:val="none" w:sz="0" w:space="0" w:color="auto"/>
        <w:right w:val="none" w:sz="0" w:space="0" w:color="auto"/>
      </w:divBdr>
    </w:div>
    <w:div w:id="257252728">
      <w:marLeft w:val="0"/>
      <w:marRight w:val="0"/>
      <w:marTop w:val="0"/>
      <w:marBottom w:val="0"/>
      <w:divBdr>
        <w:top w:val="none" w:sz="0" w:space="0" w:color="auto"/>
        <w:left w:val="none" w:sz="0" w:space="0" w:color="auto"/>
        <w:bottom w:val="none" w:sz="0" w:space="0" w:color="auto"/>
        <w:right w:val="none" w:sz="0" w:space="0" w:color="auto"/>
      </w:divBdr>
    </w:div>
    <w:div w:id="257252729">
      <w:marLeft w:val="0"/>
      <w:marRight w:val="0"/>
      <w:marTop w:val="0"/>
      <w:marBottom w:val="0"/>
      <w:divBdr>
        <w:top w:val="none" w:sz="0" w:space="0" w:color="auto"/>
        <w:left w:val="none" w:sz="0" w:space="0" w:color="auto"/>
        <w:bottom w:val="none" w:sz="0" w:space="0" w:color="auto"/>
        <w:right w:val="none" w:sz="0" w:space="0" w:color="auto"/>
      </w:divBdr>
    </w:div>
    <w:div w:id="257252730">
      <w:marLeft w:val="0"/>
      <w:marRight w:val="0"/>
      <w:marTop w:val="0"/>
      <w:marBottom w:val="0"/>
      <w:divBdr>
        <w:top w:val="none" w:sz="0" w:space="0" w:color="auto"/>
        <w:left w:val="none" w:sz="0" w:space="0" w:color="auto"/>
        <w:bottom w:val="none" w:sz="0" w:space="0" w:color="auto"/>
        <w:right w:val="none" w:sz="0" w:space="0" w:color="auto"/>
      </w:divBdr>
    </w:div>
    <w:div w:id="257252731">
      <w:marLeft w:val="0"/>
      <w:marRight w:val="0"/>
      <w:marTop w:val="0"/>
      <w:marBottom w:val="0"/>
      <w:divBdr>
        <w:top w:val="none" w:sz="0" w:space="0" w:color="auto"/>
        <w:left w:val="none" w:sz="0" w:space="0" w:color="auto"/>
        <w:bottom w:val="none" w:sz="0" w:space="0" w:color="auto"/>
        <w:right w:val="none" w:sz="0" w:space="0" w:color="auto"/>
      </w:divBdr>
    </w:div>
    <w:div w:id="257252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vet.ro/Anexe/x/Glossary%20Eng-Rom.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8</Pages>
  <Words>2247</Words>
  <Characters>13034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gigim</cp:lastModifiedBy>
  <cp:revision>9</cp:revision>
  <dcterms:created xsi:type="dcterms:W3CDTF">2019-06-04T13:00:00Z</dcterms:created>
  <dcterms:modified xsi:type="dcterms:W3CDTF">2020-09-01T08:33:00Z</dcterms:modified>
</cp:coreProperties>
</file>